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D9C7E">
      <w:pPr>
        <w:spacing w:line="600" w:lineRule="exact"/>
        <w:jc w:val="left"/>
        <w:rPr>
          <w:rFonts w:ascii="方正仿宋_GBK" w:hAnsi="方正仿宋_GBK" w:eastAsia="方正仿宋_GBK" w:cs="Times New Roman"/>
          <w:sz w:val="28"/>
          <w:szCs w:val="28"/>
        </w:rPr>
      </w:pPr>
      <w:r>
        <w:rPr>
          <w:rFonts w:hint="eastAsia" w:ascii="方正仿宋_GBK" w:hAnsi="方正仿宋_GBK" w:eastAsia="方正仿宋_GBK" w:cs="Times New Roman"/>
          <w:sz w:val="28"/>
          <w:szCs w:val="28"/>
        </w:rPr>
        <w:t>附件1</w:t>
      </w:r>
    </w:p>
    <w:tbl>
      <w:tblPr>
        <w:tblStyle w:val="3"/>
        <w:tblW w:w="9840" w:type="dxa"/>
        <w:tblInd w:w="0" w:type="dxa"/>
        <w:tblLayout w:type="autofit"/>
        <w:tblCellMar>
          <w:top w:w="0" w:type="dxa"/>
          <w:left w:w="108" w:type="dxa"/>
          <w:bottom w:w="0" w:type="dxa"/>
          <w:right w:w="108" w:type="dxa"/>
        </w:tblCellMar>
      </w:tblPr>
      <w:tblGrid>
        <w:gridCol w:w="520"/>
        <w:gridCol w:w="1540"/>
        <w:gridCol w:w="3100"/>
        <w:gridCol w:w="3440"/>
        <w:gridCol w:w="1240"/>
      </w:tblGrid>
      <w:tr w14:paraId="55473D71">
        <w:tblPrEx>
          <w:tblCellMar>
            <w:top w:w="0" w:type="dxa"/>
            <w:left w:w="108" w:type="dxa"/>
            <w:bottom w:w="0" w:type="dxa"/>
            <w:right w:w="108" w:type="dxa"/>
          </w:tblCellMar>
        </w:tblPrEx>
        <w:trPr>
          <w:trHeight w:val="1230" w:hRule="atLeast"/>
        </w:trPr>
        <w:tc>
          <w:tcPr>
            <w:tcW w:w="9840" w:type="dxa"/>
            <w:gridSpan w:val="5"/>
            <w:tcBorders>
              <w:top w:val="single" w:color="auto" w:sz="4" w:space="0"/>
              <w:left w:val="single" w:color="auto" w:sz="4" w:space="0"/>
              <w:bottom w:val="single" w:color="auto" w:sz="4" w:space="0"/>
              <w:right w:val="single" w:color="000000" w:sz="4" w:space="0"/>
            </w:tcBorders>
            <w:vAlign w:val="center"/>
          </w:tcPr>
          <w:p w14:paraId="62E6E966">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br w:type="textWrapping"/>
            </w:r>
            <w:r>
              <w:rPr>
                <w:rFonts w:hint="eastAsia" w:ascii="等线" w:hAnsi="等线" w:eastAsia="等线" w:cs="宋体"/>
                <w:b/>
                <w:bCs/>
                <w:color w:val="000000"/>
                <w:kern w:val="0"/>
                <w:sz w:val="20"/>
                <w:szCs w:val="16"/>
              </w:rPr>
              <w:t>成都武侯祠博物馆官方网站、官方微信小程序日常运维及安全运维服务项目需求表</w:t>
            </w:r>
          </w:p>
        </w:tc>
      </w:tr>
      <w:tr w14:paraId="5A5E732A">
        <w:tblPrEx>
          <w:tblCellMar>
            <w:top w:w="0" w:type="dxa"/>
            <w:left w:w="108" w:type="dxa"/>
            <w:bottom w:w="0" w:type="dxa"/>
            <w:right w:w="108" w:type="dxa"/>
          </w:tblCellMar>
        </w:tblPrEx>
        <w:trPr>
          <w:trHeight w:val="555" w:hRule="atLeast"/>
        </w:trPr>
        <w:tc>
          <w:tcPr>
            <w:tcW w:w="9840" w:type="dxa"/>
            <w:gridSpan w:val="5"/>
            <w:tcBorders>
              <w:top w:val="single" w:color="auto" w:sz="4" w:space="0"/>
              <w:left w:val="single" w:color="auto" w:sz="4" w:space="0"/>
              <w:bottom w:val="single" w:color="auto" w:sz="4" w:space="0"/>
              <w:right w:val="single" w:color="000000" w:sz="4" w:space="0"/>
            </w:tcBorders>
            <w:vAlign w:val="center"/>
          </w:tcPr>
          <w:p w14:paraId="0F3241C4">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t>技术标准说明</w:t>
            </w:r>
          </w:p>
        </w:tc>
      </w:tr>
      <w:tr w14:paraId="097FC494">
        <w:tblPrEx>
          <w:tblCellMar>
            <w:top w:w="0" w:type="dxa"/>
            <w:left w:w="108" w:type="dxa"/>
            <w:bottom w:w="0" w:type="dxa"/>
            <w:right w:w="108" w:type="dxa"/>
          </w:tblCellMar>
        </w:tblPrEx>
        <w:trPr>
          <w:trHeight w:val="1230" w:hRule="atLeast"/>
        </w:trPr>
        <w:tc>
          <w:tcPr>
            <w:tcW w:w="2060" w:type="dxa"/>
            <w:gridSpan w:val="2"/>
            <w:tcBorders>
              <w:top w:val="single" w:color="auto" w:sz="4" w:space="0"/>
              <w:left w:val="single" w:color="auto" w:sz="4" w:space="0"/>
              <w:bottom w:val="single" w:color="auto" w:sz="4" w:space="0"/>
              <w:right w:val="single" w:color="000000" w:sz="4" w:space="0"/>
            </w:tcBorders>
            <w:vAlign w:val="center"/>
          </w:tcPr>
          <w:p w14:paraId="62AD4486">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t>官网技术标准</w:t>
            </w:r>
          </w:p>
        </w:tc>
        <w:tc>
          <w:tcPr>
            <w:tcW w:w="3100" w:type="dxa"/>
            <w:tcBorders>
              <w:top w:val="nil"/>
              <w:left w:val="nil"/>
              <w:bottom w:val="single" w:color="auto" w:sz="4" w:space="0"/>
              <w:right w:val="single" w:color="auto" w:sz="4" w:space="0"/>
            </w:tcBorders>
            <w:vAlign w:val="center"/>
          </w:tcPr>
          <w:p w14:paraId="2AD39C5C">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t>小程序技术标准</w:t>
            </w:r>
          </w:p>
          <w:p w14:paraId="01CF37E8">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t>（成都武侯祠博物馆报名系统小程序、成都武侯祠博物馆导览导航小程序</w:t>
            </w:r>
            <w:r>
              <w:rPr>
                <w:rFonts w:ascii="等线" w:hAnsi="等线" w:eastAsia="等线" w:cs="宋体"/>
                <w:b/>
                <w:bCs/>
                <w:color w:val="000000"/>
                <w:kern w:val="0"/>
                <w:sz w:val="16"/>
                <w:szCs w:val="16"/>
              </w:rPr>
              <w:t>）</w:t>
            </w:r>
          </w:p>
        </w:tc>
        <w:tc>
          <w:tcPr>
            <w:tcW w:w="4680" w:type="dxa"/>
            <w:gridSpan w:val="2"/>
            <w:tcBorders>
              <w:top w:val="single" w:color="auto" w:sz="4" w:space="0"/>
              <w:left w:val="nil"/>
              <w:bottom w:val="single" w:color="auto" w:sz="4" w:space="0"/>
              <w:right w:val="single" w:color="000000" w:sz="4" w:space="0"/>
            </w:tcBorders>
            <w:vAlign w:val="center"/>
          </w:tcPr>
          <w:p w14:paraId="64A25CB3">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t>项目搭载服务器及安全应用</w:t>
            </w:r>
          </w:p>
        </w:tc>
      </w:tr>
      <w:tr w14:paraId="65000F69">
        <w:tblPrEx>
          <w:tblCellMar>
            <w:top w:w="0" w:type="dxa"/>
            <w:left w:w="108" w:type="dxa"/>
            <w:bottom w:w="0" w:type="dxa"/>
            <w:right w:w="108" w:type="dxa"/>
          </w:tblCellMar>
        </w:tblPrEx>
        <w:trPr>
          <w:trHeight w:val="5205" w:hRule="atLeast"/>
        </w:trPr>
        <w:tc>
          <w:tcPr>
            <w:tcW w:w="2060" w:type="dxa"/>
            <w:gridSpan w:val="2"/>
            <w:tcBorders>
              <w:top w:val="single" w:color="auto" w:sz="4" w:space="0"/>
              <w:left w:val="single" w:color="auto" w:sz="4" w:space="0"/>
              <w:bottom w:val="single" w:color="auto" w:sz="4" w:space="0"/>
              <w:right w:val="single" w:color="000000" w:sz="4" w:space="0"/>
            </w:tcBorders>
            <w:vAlign w:val="center"/>
          </w:tcPr>
          <w:p w14:paraId="111BFAA5">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&gt;前台页面显示兼容主流端分辨率：</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PC端分辨率：1366*768及以上所有分辨率；</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Pad端分辨率：1024*768及768*1024分辨率；</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移动端分辨率：4.0寸（320*568）至6.1寸（450*975）；</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&gt;前台页面采用UTF-8 国际编码以确保各种字符可在兼容平台上正确显示。</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 xml:space="preserve">&gt; </w:t>
            </w:r>
            <w:r>
              <w:rPr>
                <w:rFonts w:ascii="等线" w:hAnsi="等线" w:eastAsia="等线" w:cs="宋体"/>
                <w:color w:val="000000"/>
                <w:kern w:val="0"/>
                <w:sz w:val="16"/>
                <w:szCs w:val="16"/>
              </w:rPr>
              <w:t>Node.js v24.22.1</w:t>
            </w:r>
            <w:r>
              <w:rPr>
                <w:rFonts w:hint="eastAsia" w:ascii="等线" w:hAnsi="等线" w:eastAsia="等线" w:cs="宋体"/>
                <w:color w:val="000000"/>
                <w:kern w:val="0"/>
                <w:sz w:val="16"/>
                <w:szCs w:val="16"/>
              </w:rPr>
              <w:t xml:space="preserve"> (用于后台管理端的编写)</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 MySQL 5.7（数据库）</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 xml:space="preserve">&gt; </w:t>
            </w:r>
            <w:r>
              <w:rPr>
                <w:rFonts w:ascii="等线" w:hAnsi="等线" w:eastAsia="等线" w:cs="宋体"/>
                <w:color w:val="000000"/>
                <w:kern w:val="0"/>
                <w:sz w:val="16"/>
                <w:szCs w:val="16"/>
              </w:rPr>
              <w:t xml:space="preserve"> Redis 8.4.0 (处理数据</w:t>
            </w:r>
          </w:p>
          <w:p w14:paraId="538E0155">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缓存</w:t>
            </w:r>
            <w:r>
              <w:rPr>
                <w:rFonts w:ascii="等线" w:hAnsi="等线" w:eastAsia="等线" w:cs="宋体"/>
                <w:color w:val="000000"/>
                <w:kern w:val="0"/>
                <w:sz w:val="16"/>
                <w:szCs w:val="16"/>
              </w:rPr>
              <w:t>)</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&gt;Apache2.4.43（PHP运行容器）</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 统信UOS系统（服务器操作系统）</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&gt;Ctyunoos(天翼云对象存储)</w:t>
            </w:r>
          </w:p>
        </w:tc>
        <w:tc>
          <w:tcPr>
            <w:tcW w:w="3100" w:type="dxa"/>
            <w:tcBorders>
              <w:top w:val="nil"/>
              <w:left w:val="nil"/>
              <w:bottom w:val="single" w:color="auto" w:sz="4" w:space="0"/>
              <w:right w:val="single" w:color="auto" w:sz="4" w:space="0"/>
            </w:tcBorders>
            <w:vAlign w:val="center"/>
          </w:tcPr>
          <w:p w14:paraId="50D1F4A4">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xml:space="preserve"> &gt;小程序管理后台页面显示兼容主流端分辨率：</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PC端分辨率：1366*768及以上所有分辨率；</w:t>
            </w:r>
          </w:p>
          <w:p w14:paraId="28BF066F">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移动端；微信小程序通过自适应布局，兼容所有主流移动端分辨率。</w:t>
            </w:r>
          </w:p>
          <w:p w14:paraId="12A4AE9A">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Pad端分辨率：微信小程序通过自适应布局，兼容所有主流移动端分辨率。</w:t>
            </w:r>
          </w:p>
          <w:p w14:paraId="2664B477">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xml:space="preserve"> &gt;前台页面采用UTF-8 国际编码以确保各种字符可在兼容平台上正确显示。</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 SpringBoot 3.2.5  (用于后台管理端的编写)</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 JAVA 8 (java运行环境)</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 MySQL 5.7（数据库）</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 Redis 5.0（处理数据缓存）</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 Nginx 1.18（静态资源运行容器）</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 统信UOS系统（服务器操作系统）</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&gt;Ctyunoos(天翼云对象存储)</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 xml:space="preserve"> </w:t>
            </w:r>
          </w:p>
        </w:tc>
        <w:tc>
          <w:tcPr>
            <w:tcW w:w="4680" w:type="dxa"/>
            <w:gridSpan w:val="2"/>
            <w:tcBorders>
              <w:top w:val="single" w:color="auto" w:sz="4" w:space="0"/>
              <w:left w:val="nil"/>
              <w:bottom w:val="single" w:color="auto" w:sz="4" w:space="0"/>
              <w:right w:val="single" w:color="000000" w:sz="4" w:space="0"/>
            </w:tcBorders>
            <w:vAlign w:val="center"/>
          </w:tcPr>
          <w:p w14:paraId="4105F4DC">
            <w:pPr>
              <w:widowControl/>
              <w:jc w:val="left"/>
              <w:rPr>
                <w:rFonts w:ascii="等线" w:hAnsi="等线" w:eastAsia="等线" w:cs="宋体"/>
                <w:color w:val="000000"/>
                <w:kern w:val="0"/>
                <w:sz w:val="16"/>
                <w:szCs w:val="16"/>
              </w:rPr>
            </w:pPr>
            <w:r>
              <w:rPr>
                <w:rFonts w:ascii="等线" w:hAnsi="等线" w:eastAsia="等线" w:cs="宋体"/>
                <w:color w:val="000000"/>
                <w:kern w:val="0"/>
                <w:sz w:val="16"/>
                <w:szCs w:val="16"/>
              </w:rPr>
              <w:t>1.</w:t>
            </w:r>
            <w:r>
              <w:rPr>
                <w:rFonts w:hint="eastAsia" w:ascii="等线" w:hAnsi="等线" w:eastAsia="等线" w:cs="宋体"/>
                <w:color w:val="000000"/>
                <w:kern w:val="0"/>
                <w:sz w:val="16"/>
                <w:szCs w:val="16"/>
              </w:rPr>
              <w:t>官方网站及小程序服务器挂载中国电信天翼云。</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2.安全应用为天翼云服务器安全卫士、宝塔界面、天翼云抗DDOS、天翼云边缘加速平台。</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3.数据库使用中国电信天翼云对象存储。</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 xml:space="preserve">4.小程序使用OOS加速。 </w:t>
            </w:r>
          </w:p>
          <w:p w14:paraId="525845B3">
            <w:pPr>
              <w:widowControl/>
              <w:jc w:val="left"/>
              <w:rPr>
                <w:rFonts w:ascii="等线" w:hAnsi="等线" w:eastAsia="等线" w:cs="宋体"/>
                <w:color w:val="000000"/>
                <w:kern w:val="0"/>
                <w:sz w:val="16"/>
                <w:szCs w:val="16"/>
              </w:rPr>
            </w:pPr>
            <w:r>
              <w:rPr>
                <w:rFonts w:ascii="等线" w:hAnsi="等线" w:eastAsia="等线" w:cs="宋体"/>
                <w:color w:val="000000"/>
                <w:kern w:val="0"/>
                <w:sz w:val="16"/>
                <w:szCs w:val="16"/>
              </w:rPr>
              <w:t>5.</w:t>
            </w:r>
            <w:r>
              <w:rPr>
                <w:rFonts w:hint="eastAsia" w:ascii="等线" w:hAnsi="等线" w:eastAsia="等线" w:cs="宋体"/>
                <w:color w:val="000000"/>
                <w:kern w:val="0"/>
                <w:sz w:val="16"/>
                <w:szCs w:val="16"/>
              </w:rPr>
              <w:t>馆方提供全套源代</w:t>
            </w:r>
            <w:bookmarkStart w:id="0" w:name="_GoBack"/>
            <w:bookmarkEnd w:id="0"/>
            <w:r>
              <w:rPr>
                <w:rFonts w:hint="eastAsia" w:ascii="等线" w:hAnsi="等线" w:eastAsia="等线" w:cs="宋体"/>
                <w:color w:val="000000"/>
                <w:kern w:val="0"/>
                <w:sz w:val="16"/>
                <w:szCs w:val="16"/>
              </w:rPr>
              <w:t>码、云数据库、云服务器、系统账号密码、网络安全资源。</w:t>
            </w:r>
          </w:p>
          <w:p w14:paraId="347FCE18">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6.如更换底层云平台无条件进行</w:t>
            </w:r>
            <w:r>
              <w:rPr>
                <w:rFonts w:hint="eastAsia" w:ascii="等线" w:hAnsi="等线" w:eastAsia="等线" w:cs="宋体"/>
                <w:color w:val="000000"/>
                <w:kern w:val="0"/>
                <w:sz w:val="16"/>
                <w:szCs w:val="16"/>
                <w:lang w:val="en-US" w:eastAsia="zh-CN"/>
              </w:rPr>
              <w:t>全套技术</w:t>
            </w:r>
            <w:r>
              <w:rPr>
                <w:rFonts w:hint="eastAsia" w:ascii="等线" w:hAnsi="等线" w:eastAsia="等线" w:cs="宋体"/>
                <w:color w:val="000000"/>
                <w:kern w:val="0"/>
                <w:sz w:val="16"/>
                <w:szCs w:val="16"/>
              </w:rPr>
              <w:t>切换</w:t>
            </w:r>
            <w:r>
              <w:rPr>
                <w:rFonts w:hint="eastAsia" w:ascii="等线" w:hAnsi="等线" w:eastAsia="等线" w:cs="宋体"/>
                <w:color w:val="000000"/>
                <w:kern w:val="0"/>
                <w:sz w:val="16"/>
                <w:szCs w:val="16"/>
                <w:lang w:val="en-US" w:eastAsia="zh-CN"/>
              </w:rPr>
              <w:t>及应用</w:t>
            </w:r>
            <w:r>
              <w:rPr>
                <w:rFonts w:hint="eastAsia" w:ascii="等线" w:hAnsi="等线" w:eastAsia="等线" w:cs="宋体"/>
                <w:color w:val="000000"/>
                <w:kern w:val="0"/>
                <w:sz w:val="16"/>
                <w:szCs w:val="16"/>
              </w:rPr>
              <w:t>迁移</w:t>
            </w:r>
            <w:r>
              <w:rPr>
                <w:rFonts w:hint="eastAsia" w:ascii="等线" w:hAnsi="等线" w:eastAsia="等线" w:cs="宋体"/>
                <w:color w:val="000000"/>
                <w:kern w:val="0"/>
                <w:sz w:val="16"/>
                <w:szCs w:val="16"/>
                <w:lang w:val="en-US" w:eastAsia="zh-CN"/>
              </w:rPr>
              <w:t>部署</w:t>
            </w:r>
            <w:r>
              <w:rPr>
                <w:rFonts w:hint="eastAsia" w:ascii="等线" w:hAnsi="等线" w:eastAsia="等线" w:cs="宋体"/>
                <w:color w:val="000000"/>
                <w:kern w:val="0"/>
                <w:sz w:val="16"/>
                <w:szCs w:val="16"/>
              </w:rPr>
              <w:t>。</w:t>
            </w:r>
          </w:p>
          <w:p w14:paraId="68305DB6">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7</w:t>
            </w:r>
            <w:r>
              <w:rPr>
                <w:rFonts w:ascii="等线" w:hAnsi="等线" w:eastAsia="等线" w:cs="宋体"/>
                <w:color w:val="000000"/>
                <w:kern w:val="0"/>
                <w:sz w:val="16"/>
                <w:szCs w:val="16"/>
              </w:rPr>
              <w:t>.</w:t>
            </w:r>
            <w:r>
              <w:rPr>
                <w:rFonts w:hint="eastAsia" w:ascii="等线" w:hAnsi="等线" w:eastAsia="等线" w:cs="宋体"/>
                <w:color w:val="000000"/>
                <w:kern w:val="0"/>
                <w:sz w:val="16"/>
                <w:szCs w:val="16"/>
              </w:rPr>
              <w:t>维护时间为一年，报价单位为元。</w:t>
            </w:r>
          </w:p>
        </w:tc>
      </w:tr>
      <w:tr w14:paraId="6FA37F30">
        <w:tblPrEx>
          <w:tblCellMar>
            <w:top w:w="0" w:type="dxa"/>
            <w:left w:w="108" w:type="dxa"/>
            <w:bottom w:w="0" w:type="dxa"/>
            <w:right w:w="108" w:type="dxa"/>
          </w:tblCellMar>
        </w:tblPrEx>
        <w:trPr>
          <w:trHeight w:val="1230" w:hRule="atLeast"/>
        </w:trPr>
        <w:tc>
          <w:tcPr>
            <w:tcW w:w="520" w:type="dxa"/>
            <w:tcBorders>
              <w:top w:val="nil"/>
              <w:left w:val="single" w:color="auto" w:sz="4" w:space="0"/>
              <w:bottom w:val="single" w:color="auto" w:sz="4" w:space="0"/>
              <w:right w:val="single" w:color="auto" w:sz="4" w:space="0"/>
            </w:tcBorders>
            <w:vAlign w:val="center"/>
          </w:tcPr>
          <w:p w14:paraId="6C2C3F8E">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t>序号</w:t>
            </w:r>
          </w:p>
        </w:tc>
        <w:tc>
          <w:tcPr>
            <w:tcW w:w="1540" w:type="dxa"/>
            <w:tcBorders>
              <w:top w:val="nil"/>
              <w:left w:val="nil"/>
              <w:bottom w:val="single" w:color="auto" w:sz="4" w:space="0"/>
              <w:right w:val="single" w:color="auto" w:sz="4" w:space="0"/>
            </w:tcBorders>
            <w:vAlign w:val="center"/>
          </w:tcPr>
          <w:p w14:paraId="761B4DE2">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t>运维项目</w:t>
            </w:r>
          </w:p>
        </w:tc>
        <w:tc>
          <w:tcPr>
            <w:tcW w:w="3100" w:type="dxa"/>
            <w:tcBorders>
              <w:top w:val="nil"/>
              <w:left w:val="nil"/>
              <w:bottom w:val="single" w:color="auto" w:sz="4" w:space="0"/>
              <w:right w:val="single" w:color="auto" w:sz="4" w:space="0"/>
            </w:tcBorders>
            <w:vAlign w:val="center"/>
          </w:tcPr>
          <w:p w14:paraId="447FD244">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t>维护内容</w:t>
            </w:r>
          </w:p>
        </w:tc>
        <w:tc>
          <w:tcPr>
            <w:tcW w:w="3440" w:type="dxa"/>
            <w:tcBorders>
              <w:top w:val="nil"/>
              <w:left w:val="nil"/>
              <w:bottom w:val="single" w:color="auto" w:sz="4" w:space="0"/>
              <w:right w:val="single" w:color="auto" w:sz="4" w:space="0"/>
            </w:tcBorders>
            <w:vAlign w:val="center"/>
          </w:tcPr>
          <w:p w14:paraId="215E48E3">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t>详情</w:t>
            </w:r>
          </w:p>
        </w:tc>
        <w:tc>
          <w:tcPr>
            <w:tcW w:w="1240" w:type="dxa"/>
            <w:tcBorders>
              <w:top w:val="nil"/>
              <w:left w:val="nil"/>
              <w:bottom w:val="single" w:color="auto" w:sz="4" w:space="0"/>
              <w:right w:val="single" w:color="auto" w:sz="4" w:space="0"/>
            </w:tcBorders>
            <w:vAlign w:val="center"/>
          </w:tcPr>
          <w:p w14:paraId="2BE47225">
            <w:pPr>
              <w:widowControl/>
              <w:jc w:val="center"/>
              <w:rPr>
                <w:rFonts w:ascii="等线" w:hAnsi="等线" w:eastAsia="等线" w:cs="宋体"/>
                <w:b/>
                <w:bCs/>
                <w:color w:val="000000"/>
                <w:kern w:val="0"/>
                <w:sz w:val="16"/>
                <w:szCs w:val="16"/>
              </w:rPr>
            </w:pPr>
            <w:r>
              <w:rPr>
                <w:rFonts w:hint="eastAsia" w:ascii="等线" w:hAnsi="等线" w:eastAsia="等线" w:cs="宋体"/>
                <w:b/>
                <w:bCs/>
                <w:color w:val="000000"/>
                <w:kern w:val="0"/>
                <w:sz w:val="16"/>
                <w:szCs w:val="16"/>
              </w:rPr>
              <w:t>报价（元/年）</w:t>
            </w:r>
          </w:p>
        </w:tc>
      </w:tr>
      <w:tr w14:paraId="276154B3">
        <w:tblPrEx>
          <w:tblCellMar>
            <w:top w:w="0" w:type="dxa"/>
            <w:left w:w="108" w:type="dxa"/>
            <w:bottom w:w="0" w:type="dxa"/>
            <w:right w:w="108" w:type="dxa"/>
          </w:tblCellMar>
        </w:tblPrEx>
        <w:trPr>
          <w:trHeight w:val="3405" w:hRule="atLeast"/>
        </w:trPr>
        <w:tc>
          <w:tcPr>
            <w:tcW w:w="520" w:type="dxa"/>
            <w:tcBorders>
              <w:top w:val="nil"/>
              <w:left w:val="single" w:color="auto" w:sz="4" w:space="0"/>
              <w:bottom w:val="single" w:color="auto" w:sz="4" w:space="0"/>
              <w:right w:val="single" w:color="auto" w:sz="4" w:space="0"/>
            </w:tcBorders>
            <w:vAlign w:val="center"/>
          </w:tcPr>
          <w:p w14:paraId="6A73A705">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1</w:t>
            </w:r>
          </w:p>
        </w:tc>
        <w:tc>
          <w:tcPr>
            <w:tcW w:w="1540" w:type="dxa"/>
            <w:tcBorders>
              <w:top w:val="nil"/>
              <w:left w:val="nil"/>
              <w:bottom w:val="single" w:color="auto" w:sz="4" w:space="0"/>
              <w:right w:val="single" w:color="auto" w:sz="4" w:space="0"/>
            </w:tcBorders>
            <w:vAlign w:val="center"/>
          </w:tcPr>
          <w:p w14:paraId="3975544C">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成都武侯祠博物馆官方网站日常维护</w:t>
            </w:r>
          </w:p>
        </w:tc>
        <w:tc>
          <w:tcPr>
            <w:tcW w:w="3100" w:type="dxa"/>
            <w:tcBorders>
              <w:top w:val="nil"/>
              <w:left w:val="nil"/>
              <w:bottom w:val="single" w:color="auto" w:sz="4" w:space="0"/>
              <w:right w:val="single" w:color="auto" w:sz="4" w:space="0"/>
            </w:tcBorders>
            <w:vAlign w:val="center"/>
          </w:tcPr>
          <w:p w14:paraId="1D98DB7D">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负责成都武侯祠博物馆官方网站中文、英文、韩文、日文的多语言版本的日常运行维护，保障网站的正常运行。负责成都武侯祠博物馆官方网站的后台更新优化升级工作。</w:t>
            </w:r>
          </w:p>
        </w:tc>
        <w:tc>
          <w:tcPr>
            <w:tcW w:w="3440" w:type="dxa"/>
            <w:tcBorders>
              <w:top w:val="nil"/>
              <w:left w:val="nil"/>
              <w:bottom w:val="single" w:color="auto" w:sz="4" w:space="0"/>
              <w:right w:val="single" w:color="auto" w:sz="4" w:space="0"/>
            </w:tcBorders>
            <w:vAlign w:val="center"/>
          </w:tcPr>
          <w:p w14:paraId="4A2E78DC">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1.保障官方网站首页、中文网站六大板块五十四个子板块的正常运行，完成涉及版块的功能更新及部分内容更新，根据一级博物馆业务要求进行板块栏目调整。</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2.负责英文、韩文、日文的多语言版本的正常运行，完成涉及板块的正常运行、功能更新及部分内容更新。</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3.保障官方网站全后台的正常运行，完成官方网站后台的更新优化升级工作。</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4.日常维护中针对网站、小程序的调整或优化在2个工作日内完成，如无法按时修复则进行情况说明。</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（参考202</w:t>
            </w:r>
            <w:r>
              <w:rPr>
                <w:rFonts w:ascii="等线" w:hAnsi="等线" w:eastAsia="等线" w:cs="宋体"/>
                <w:color w:val="000000"/>
                <w:kern w:val="0"/>
                <w:sz w:val="16"/>
                <w:szCs w:val="16"/>
              </w:rPr>
              <w:t>5</w:t>
            </w:r>
            <w:r>
              <w:rPr>
                <w:rFonts w:hint="eastAsia" w:ascii="等线" w:hAnsi="等线" w:eastAsia="等线" w:cs="宋体"/>
                <w:color w:val="000000"/>
                <w:kern w:val="0"/>
                <w:sz w:val="16"/>
                <w:szCs w:val="16"/>
              </w:rPr>
              <w:t>年11月-202</w:t>
            </w:r>
            <w:r>
              <w:rPr>
                <w:rFonts w:ascii="等线" w:hAnsi="等线" w:eastAsia="等线" w:cs="宋体"/>
                <w:color w:val="000000"/>
                <w:kern w:val="0"/>
                <w:sz w:val="16"/>
                <w:szCs w:val="16"/>
              </w:rPr>
              <w:t>6</w:t>
            </w:r>
            <w:r>
              <w:rPr>
                <w:rFonts w:hint="eastAsia" w:ascii="等线" w:hAnsi="等线" w:eastAsia="等线" w:cs="宋体"/>
                <w:color w:val="000000"/>
                <w:kern w:val="0"/>
                <w:sz w:val="16"/>
                <w:szCs w:val="16"/>
              </w:rPr>
              <w:t>年</w:t>
            </w:r>
            <w:r>
              <w:rPr>
                <w:rFonts w:ascii="等线" w:hAnsi="等线" w:eastAsia="等线" w:cs="宋体"/>
                <w:color w:val="000000"/>
                <w:kern w:val="0"/>
                <w:sz w:val="16"/>
                <w:szCs w:val="16"/>
              </w:rPr>
              <w:t>1</w:t>
            </w:r>
            <w:r>
              <w:rPr>
                <w:rFonts w:hint="eastAsia" w:ascii="等线" w:hAnsi="等线" w:eastAsia="等线" w:cs="宋体"/>
                <w:color w:val="000000"/>
                <w:kern w:val="0"/>
                <w:sz w:val="16"/>
                <w:szCs w:val="16"/>
                <w:lang w:val="en-US" w:eastAsia="zh-CN"/>
              </w:rPr>
              <w:t>0</w:t>
            </w:r>
            <w:r>
              <w:rPr>
                <w:rFonts w:hint="eastAsia" w:ascii="等线" w:hAnsi="等线" w:eastAsia="等线" w:cs="宋体"/>
                <w:color w:val="000000"/>
                <w:kern w:val="0"/>
                <w:sz w:val="16"/>
                <w:szCs w:val="16"/>
              </w:rPr>
              <w:t>月，每月调整约</w:t>
            </w:r>
            <w:r>
              <w:rPr>
                <w:rFonts w:ascii="等线" w:hAnsi="等线" w:eastAsia="等线" w:cs="宋体"/>
                <w:color w:val="000000"/>
                <w:kern w:val="0"/>
                <w:sz w:val="16"/>
                <w:szCs w:val="16"/>
              </w:rPr>
              <w:t>2-6</w:t>
            </w:r>
            <w:r>
              <w:rPr>
                <w:rFonts w:hint="eastAsia" w:ascii="等线" w:hAnsi="等线" w:eastAsia="等线" w:cs="宋体"/>
                <w:color w:val="000000"/>
                <w:kern w:val="0"/>
                <w:sz w:val="16"/>
                <w:szCs w:val="16"/>
              </w:rPr>
              <w:t>次）</w:t>
            </w:r>
          </w:p>
        </w:tc>
        <w:tc>
          <w:tcPr>
            <w:tcW w:w="1240" w:type="dxa"/>
            <w:tcBorders>
              <w:top w:val="nil"/>
              <w:left w:val="nil"/>
              <w:bottom w:val="single" w:color="auto" w:sz="4" w:space="0"/>
              <w:right w:val="single" w:color="auto" w:sz="4" w:space="0"/>
            </w:tcBorders>
            <w:noWrap/>
            <w:vAlign w:val="bottom"/>
          </w:tcPr>
          <w:p w14:paraId="09061971">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w:t>
            </w:r>
          </w:p>
        </w:tc>
      </w:tr>
      <w:tr w14:paraId="69D903AA">
        <w:tblPrEx>
          <w:tblCellMar>
            <w:top w:w="0" w:type="dxa"/>
            <w:left w:w="108" w:type="dxa"/>
            <w:bottom w:w="0" w:type="dxa"/>
            <w:right w:w="108" w:type="dxa"/>
          </w:tblCellMar>
        </w:tblPrEx>
        <w:trPr>
          <w:trHeight w:val="3630" w:hRule="atLeast"/>
        </w:trPr>
        <w:tc>
          <w:tcPr>
            <w:tcW w:w="520" w:type="dxa"/>
            <w:tcBorders>
              <w:top w:val="nil"/>
              <w:left w:val="single" w:color="auto" w:sz="4" w:space="0"/>
              <w:bottom w:val="single" w:color="auto" w:sz="4" w:space="0"/>
              <w:right w:val="single" w:color="auto" w:sz="4" w:space="0"/>
            </w:tcBorders>
            <w:vAlign w:val="center"/>
          </w:tcPr>
          <w:p w14:paraId="7B8850A0">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2</w:t>
            </w:r>
          </w:p>
        </w:tc>
        <w:tc>
          <w:tcPr>
            <w:tcW w:w="1540" w:type="dxa"/>
            <w:tcBorders>
              <w:top w:val="nil"/>
              <w:left w:val="nil"/>
              <w:bottom w:val="single" w:color="auto" w:sz="4" w:space="0"/>
              <w:right w:val="single" w:color="auto" w:sz="4" w:space="0"/>
            </w:tcBorders>
            <w:vAlign w:val="center"/>
          </w:tcPr>
          <w:p w14:paraId="72F7E258">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成都武侯祠博物馆小程序日常维护</w:t>
            </w:r>
          </w:p>
        </w:tc>
        <w:tc>
          <w:tcPr>
            <w:tcW w:w="3100" w:type="dxa"/>
            <w:tcBorders>
              <w:top w:val="nil"/>
              <w:left w:val="nil"/>
              <w:bottom w:val="single" w:color="auto" w:sz="4" w:space="0"/>
              <w:right w:val="single" w:color="auto" w:sz="4" w:space="0"/>
            </w:tcBorders>
            <w:vAlign w:val="center"/>
          </w:tcPr>
          <w:p w14:paraId="5191E624">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负责成都武侯祠导航小程序、成都武侯祠报名系统小程序、成都武侯祠微信公众号菜单的日常维护及更新</w:t>
            </w:r>
          </w:p>
        </w:tc>
        <w:tc>
          <w:tcPr>
            <w:tcW w:w="3440" w:type="dxa"/>
            <w:tcBorders>
              <w:top w:val="nil"/>
              <w:left w:val="nil"/>
              <w:bottom w:val="single" w:color="auto" w:sz="4" w:space="0"/>
              <w:right w:val="single" w:color="auto" w:sz="4" w:space="0"/>
            </w:tcBorders>
            <w:vAlign w:val="center"/>
          </w:tcPr>
          <w:p w14:paraId="209C534B">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1保障小程序板块的正常运行，完成涉及板块的调整，完成涉及板块的功能更新及部分内容更新，保障小程序后台的正常使用及日常更新。</w:t>
            </w:r>
          </w:p>
          <w:p w14:paraId="41C94704">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2.保障小程序的正常运行。</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3.保障第三方数据和链接上传。</w:t>
            </w:r>
          </w:p>
          <w:p w14:paraId="4F817735">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4</w:t>
            </w:r>
            <w:r>
              <w:rPr>
                <w:rFonts w:ascii="等线" w:hAnsi="等线" w:eastAsia="等线" w:cs="宋体"/>
                <w:color w:val="000000"/>
                <w:kern w:val="0"/>
                <w:sz w:val="16"/>
                <w:szCs w:val="16"/>
              </w:rPr>
              <w:t>.</w:t>
            </w:r>
            <w:r>
              <w:rPr>
                <w:rFonts w:hint="eastAsia" w:ascii="等线" w:hAnsi="等线" w:eastAsia="等线" w:cs="宋体"/>
                <w:color w:val="000000"/>
                <w:kern w:val="0"/>
                <w:sz w:val="16"/>
                <w:szCs w:val="16"/>
              </w:rPr>
              <w:t>保障微信公众号菜单的讲解导览板块等内容的日常维护和更新。</w:t>
            </w:r>
            <w:r>
              <w:rPr>
                <w:rFonts w:hint="eastAsia" w:ascii="等线" w:hAnsi="等线" w:eastAsia="等线" w:cs="宋体"/>
                <w:color w:val="000000"/>
                <w:kern w:val="0"/>
                <w:sz w:val="16"/>
                <w:szCs w:val="16"/>
              </w:rPr>
              <w:br w:type="textWrapping"/>
            </w:r>
            <w:r>
              <w:rPr>
                <w:rFonts w:ascii="等线" w:hAnsi="等线" w:eastAsia="等线" w:cs="宋体"/>
                <w:color w:val="000000"/>
                <w:kern w:val="0"/>
                <w:sz w:val="16"/>
                <w:szCs w:val="16"/>
              </w:rPr>
              <w:t>5</w:t>
            </w:r>
            <w:r>
              <w:rPr>
                <w:rFonts w:hint="eastAsia" w:ascii="等线" w:hAnsi="等线" w:eastAsia="等线" w:cs="宋体"/>
                <w:color w:val="000000"/>
                <w:kern w:val="0"/>
                <w:sz w:val="16"/>
                <w:szCs w:val="16"/>
              </w:rPr>
              <w:t>.日常维护中针对小程序的调整或优化在2个工作日内完成，如无法按时修复则进行情况说明。（参考202</w:t>
            </w:r>
            <w:r>
              <w:rPr>
                <w:rFonts w:ascii="等线" w:hAnsi="等线" w:eastAsia="等线" w:cs="宋体"/>
                <w:color w:val="000000"/>
                <w:kern w:val="0"/>
                <w:sz w:val="16"/>
                <w:szCs w:val="16"/>
              </w:rPr>
              <w:t>5</w:t>
            </w:r>
            <w:r>
              <w:rPr>
                <w:rFonts w:hint="eastAsia" w:ascii="等线" w:hAnsi="等线" w:eastAsia="等线" w:cs="宋体"/>
                <w:color w:val="000000"/>
                <w:kern w:val="0"/>
                <w:sz w:val="16"/>
                <w:szCs w:val="16"/>
              </w:rPr>
              <w:t>年11月-202</w:t>
            </w:r>
            <w:r>
              <w:rPr>
                <w:rFonts w:ascii="等线" w:hAnsi="等线" w:eastAsia="等线" w:cs="宋体"/>
                <w:color w:val="000000"/>
                <w:kern w:val="0"/>
                <w:sz w:val="16"/>
                <w:szCs w:val="16"/>
              </w:rPr>
              <w:t>6</w:t>
            </w:r>
            <w:r>
              <w:rPr>
                <w:rFonts w:hint="eastAsia" w:ascii="等线" w:hAnsi="等线" w:eastAsia="等线" w:cs="宋体"/>
                <w:color w:val="000000"/>
                <w:kern w:val="0"/>
                <w:sz w:val="16"/>
                <w:szCs w:val="16"/>
              </w:rPr>
              <w:t>年</w:t>
            </w:r>
            <w:r>
              <w:rPr>
                <w:rFonts w:ascii="等线" w:hAnsi="等线" w:eastAsia="等线" w:cs="宋体"/>
                <w:color w:val="000000"/>
                <w:kern w:val="0"/>
                <w:sz w:val="16"/>
                <w:szCs w:val="16"/>
              </w:rPr>
              <w:t>1</w:t>
            </w:r>
            <w:r>
              <w:rPr>
                <w:rFonts w:hint="eastAsia" w:ascii="等线" w:hAnsi="等线" w:eastAsia="等线" w:cs="宋体"/>
                <w:color w:val="000000"/>
                <w:kern w:val="0"/>
                <w:sz w:val="16"/>
                <w:szCs w:val="16"/>
                <w:lang w:val="en-US" w:eastAsia="zh-CN"/>
              </w:rPr>
              <w:t>0</w:t>
            </w:r>
            <w:r>
              <w:rPr>
                <w:rFonts w:hint="eastAsia" w:ascii="等线" w:hAnsi="等线" w:eastAsia="等线" w:cs="宋体"/>
                <w:color w:val="000000"/>
                <w:kern w:val="0"/>
                <w:sz w:val="16"/>
                <w:szCs w:val="16"/>
              </w:rPr>
              <w:t>月，每月调整约</w:t>
            </w:r>
            <w:r>
              <w:rPr>
                <w:rFonts w:ascii="等线" w:hAnsi="等线" w:eastAsia="等线" w:cs="宋体"/>
                <w:color w:val="000000"/>
                <w:kern w:val="0"/>
                <w:sz w:val="16"/>
                <w:szCs w:val="16"/>
              </w:rPr>
              <w:t>1-3</w:t>
            </w:r>
            <w:r>
              <w:rPr>
                <w:rFonts w:hint="eastAsia" w:ascii="等线" w:hAnsi="等线" w:eastAsia="等线" w:cs="宋体"/>
                <w:color w:val="000000"/>
                <w:kern w:val="0"/>
                <w:sz w:val="16"/>
                <w:szCs w:val="16"/>
              </w:rPr>
              <w:t>次）</w:t>
            </w:r>
          </w:p>
        </w:tc>
        <w:tc>
          <w:tcPr>
            <w:tcW w:w="1240" w:type="dxa"/>
            <w:tcBorders>
              <w:top w:val="nil"/>
              <w:left w:val="nil"/>
              <w:bottom w:val="single" w:color="auto" w:sz="4" w:space="0"/>
              <w:right w:val="single" w:color="auto" w:sz="4" w:space="0"/>
            </w:tcBorders>
            <w:noWrap/>
            <w:vAlign w:val="bottom"/>
          </w:tcPr>
          <w:p w14:paraId="2BEE77AC">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w:t>
            </w:r>
          </w:p>
        </w:tc>
      </w:tr>
      <w:tr w14:paraId="4F3577C9">
        <w:tblPrEx>
          <w:tblCellMar>
            <w:top w:w="0" w:type="dxa"/>
            <w:left w:w="108" w:type="dxa"/>
            <w:bottom w:w="0" w:type="dxa"/>
            <w:right w:w="108" w:type="dxa"/>
          </w:tblCellMar>
        </w:tblPrEx>
        <w:trPr>
          <w:trHeight w:val="3375" w:hRule="atLeast"/>
        </w:trPr>
        <w:tc>
          <w:tcPr>
            <w:tcW w:w="520" w:type="dxa"/>
            <w:tcBorders>
              <w:top w:val="nil"/>
              <w:left w:val="single" w:color="auto" w:sz="4" w:space="0"/>
              <w:bottom w:val="single" w:color="auto" w:sz="4" w:space="0"/>
              <w:right w:val="single" w:color="auto" w:sz="4" w:space="0"/>
            </w:tcBorders>
            <w:vAlign w:val="center"/>
          </w:tcPr>
          <w:p w14:paraId="383D0F4F">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3</w:t>
            </w:r>
          </w:p>
        </w:tc>
        <w:tc>
          <w:tcPr>
            <w:tcW w:w="1540" w:type="dxa"/>
            <w:tcBorders>
              <w:top w:val="nil"/>
              <w:left w:val="nil"/>
              <w:bottom w:val="single" w:color="auto" w:sz="4" w:space="0"/>
              <w:right w:val="single" w:color="auto" w:sz="4" w:space="0"/>
            </w:tcBorders>
            <w:vAlign w:val="center"/>
          </w:tcPr>
          <w:p w14:paraId="39558903">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成都武侯祠博物馆官方网站及小程序服务器安全运维</w:t>
            </w:r>
          </w:p>
        </w:tc>
        <w:tc>
          <w:tcPr>
            <w:tcW w:w="3100" w:type="dxa"/>
            <w:tcBorders>
              <w:top w:val="nil"/>
              <w:left w:val="nil"/>
              <w:bottom w:val="single" w:color="auto" w:sz="4" w:space="0"/>
              <w:right w:val="single" w:color="auto" w:sz="4" w:space="0"/>
            </w:tcBorders>
            <w:vAlign w:val="center"/>
          </w:tcPr>
          <w:p w14:paraId="0D6A6AEC">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负责成都武侯祠博物馆官方网站、官方小程序的云服务器正常运行，负责云服务器漏洞修复工作，负责云服务器所使用的云安全平台的配置，负责服务器的基线检查，及时处理各类所报的低中高危漏洞</w:t>
            </w:r>
          </w:p>
        </w:tc>
        <w:tc>
          <w:tcPr>
            <w:tcW w:w="3440" w:type="dxa"/>
            <w:tcBorders>
              <w:top w:val="nil"/>
              <w:left w:val="nil"/>
              <w:bottom w:val="single" w:color="auto" w:sz="4" w:space="0"/>
              <w:right w:val="single" w:color="auto" w:sz="4" w:space="0"/>
            </w:tcBorders>
            <w:vAlign w:val="center"/>
          </w:tcPr>
          <w:p w14:paraId="3A3AD881">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1.负责挂载在云平台的官方网站和官方小程序服务器的正常运行。</w:t>
            </w:r>
            <w:r>
              <w:rPr>
                <w:rFonts w:hint="eastAsia" w:ascii="等线" w:hAnsi="等线" w:eastAsia="等线" w:cs="宋体"/>
                <w:color w:val="000000"/>
                <w:kern w:val="0"/>
                <w:sz w:val="16"/>
                <w:szCs w:val="16"/>
              </w:rPr>
              <w:br w:type="page"/>
            </w:r>
            <w:r>
              <w:rPr>
                <w:rFonts w:hint="eastAsia" w:ascii="等线" w:hAnsi="等线" w:eastAsia="等线" w:cs="宋体"/>
                <w:color w:val="000000"/>
                <w:kern w:val="0"/>
                <w:sz w:val="16"/>
                <w:szCs w:val="16"/>
              </w:rPr>
              <w:t>2.负责官方网站和官方小程序服务器的安全应用安装工作（如天翼云服务器安全卫士、宝塔界面、天翼云抗DDOS、天翼云边缘加速平台等）。</w:t>
            </w:r>
            <w:r>
              <w:rPr>
                <w:rFonts w:hint="eastAsia" w:ascii="等线" w:hAnsi="等线" w:eastAsia="等线" w:cs="宋体"/>
                <w:color w:val="000000"/>
                <w:kern w:val="0"/>
                <w:sz w:val="16"/>
                <w:szCs w:val="16"/>
              </w:rPr>
              <w:br w:type="page"/>
            </w:r>
            <w:r>
              <w:rPr>
                <w:rFonts w:hint="eastAsia" w:ascii="等线" w:hAnsi="等线" w:eastAsia="等线" w:cs="宋体"/>
                <w:color w:val="000000"/>
                <w:kern w:val="0"/>
                <w:sz w:val="16"/>
                <w:szCs w:val="16"/>
              </w:rPr>
              <w:t>3.负责服务器的网络安全工作，根据使用的安全应用进行服务器漏洞修复、基线检查、平台配置等工作。</w:t>
            </w:r>
            <w:r>
              <w:rPr>
                <w:rFonts w:hint="eastAsia" w:ascii="等线" w:hAnsi="等线" w:eastAsia="等线" w:cs="宋体"/>
                <w:color w:val="000000"/>
                <w:kern w:val="0"/>
                <w:sz w:val="16"/>
                <w:szCs w:val="16"/>
              </w:rPr>
              <w:br w:type="page"/>
            </w:r>
            <w:r>
              <w:rPr>
                <w:rFonts w:hint="eastAsia" w:ascii="等线" w:hAnsi="等线" w:eastAsia="等线" w:cs="宋体"/>
                <w:color w:val="000000"/>
                <w:kern w:val="0"/>
                <w:sz w:val="16"/>
                <w:szCs w:val="16"/>
              </w:rPr>
              <w:t>4.对安全应用所暴露的服务器漏洞按极危、高危、中危、低危顺序进行修补， 2个工作日内处理高危和极危的漏洞补丁，5个工作日内处理中低危漏洞，如无法按时修复则进行情况说明，保证服务器长期处于安全状态下运行。5.强化官方网站和官方微信小程序及云服务器监控服务（通过邮件、短信或企微机器人进行通知））6.强化网站日常安全性检查。</w:t>
            </w:r>
            <w:r>
              <w:rPr>
                <w:rFonts w:hint="eastAsia" w:ascii="等线" w:hAnsi="等线" w:eastAsia="等线" w:cs="宋体"/>
                <w:color w:val="000000"/>
                <w:kern w:val="0"/>
                <w:sz w:val="16"/>
                <w:szCs w:val="16"/>
              </w:rPr>
              <w:br w:type="page"/>
            </w:r>
            <w:r>
              <w:rPr>
                <w:rFonts w:hint="eastAsia" w:ascii="等线" w:hAnsi="等线" w:eastAsia="等线" w:cs="宋体"/>
                <w:color w:val="000000"/>
                <w:kern w:val="0"/>
                <w:sz w:val="16"/>
                <w:szCs w:val="16"/>
              </w:rPr>
              <w:t>（参考202</w:t>
            </w:r>
            <w:r>
              <w:rPr>
                <w:rFonts w:ascii="等线" w:hAnsi="等线" w:eastAsia="等线" w:cs="宋体"/>
                <w:color w:val="000000"/>
                <w:kern w:val="0"/>
                <w:sz w:val="16"/>
                <w:szCs w:val="16"/>
              </w:rPr>
              <w:t>5</w:t>
            </w:r>
            <w:r>
              <w:rPr>
                <w:rFonts w:hint="eastAsia" w:ascii="等线" w:hAnsi="等线" w:eastAsia="等线" w:cs="宋体"/>
                <w:color w:val="000000"/>
                <w:kern w:val="0"/>
                <w:sz w:val="16"/>
                <w:szCs w:val="16"/>
              </w:rPr>
              <w:t>年11月-202</w:t>
            </w:r>
            <w:r>
              <w:rPr>
                <w:rFonts w:ascii="等线" w:hAnsi="等线" w:eastAsia="等线" w:cs="宋体"/>
                <w:color w:val="000000"/>
                <w:kern w:val="0"/>
                <w:sz w:val="16"/>
                <w:szCs w:val="16"/>
              </w:rPr>
              <w:t>6</w:t>
            </w:r>
            <w:r>
              <w:rPr>
                <w:rFonts w:hint="eastAsia" w:ascii="等线" w:hAnsi="等线" w:eastAsia="等线" w:cs="宋体"/>
                <w:color w:val="000000"/>
                <w:kern w:val="0"/>
                <w:sz w:val="16"/>
                <w:szCs w:val="16"/>
              </w:rPr>
              <w:t>年</w:t>
            </w:r>
            <w:r>
              <w:rPr>
                <w:rFonts w:ascii="等线" w:hAnsi="等线" w:eastAsia="等线" w:cs="宋体"/>
                <w:color w:val="000000"/>
                <w:kern w:val="0"/>
                <w:sz w:val="16"/>
                <w:szCs w:val="16"/>
              </w:rPr>
              <w:t>1</w:t>
            </w:r>
            <w:r>
              <w:rPr>
                <w:rFonts w:hint="eastAsia" w:ascii="等线" w:hAnsi="等线" w:eastAsia="等线" w:cs="宋体"/>
                <w:color w:val="000000"/>
                <w:kern w:val="0"/>
                <w:sz w:val="16"/>
                <w:szCs w:val="16"/>
                <w:lang w:val="en-US" w:eastAsia="zh-CN"/>
              </w:rPr>
              <w:t>0</w:t>
            </w:r>
            <w:r>
              <w:rPr>
                <w:rFonts w:hint="eastAsia" w:ascii="等线" w:hAnsi="等线" w:eastAsia="等线" w:cs="宋体"/>
                <w:color w:val="000000"/>
                <w:kern w:val="0"/>
                <w:sz w:val="16"/>
                <w:szCs w:val="16"/>
              </w:rPr>
              <w:t>月，每月处理约</w:t>
            </w:r>
            <w:r>
              <w:rPr>
                <w:rFonts w:ascii="等线" w:hAnsi="等线" w:eastAsia="等线" w:cs="宋体"/>
                <w:color w:val="000000"/>
                <w:kern w:val="0"/>
                <w:sz w:val="16"/>
                <w:szCs w:val="16"/>
              </w:rPr>
              <w:t>3-6</w:t>
            </w:r>
            <w:r>
              <w:rPr>
                <w:rFonts w:hint="eastAsia" w:ascii="等线" w:hAnsi="等线" w:eastAsia="等线" w:cs="宋体"/>
                <w:color w:val="000000"/>
                <w:kern w:val="0"/>
                <w:sz w:val="16"/>
                <w:szCs w:val="16"/>
              </w:rPr>
              <w:t>次，每月处理约5</w:t>
            </w:r>
            <w:r>
              <w:rPr>
                <w:rFonts w:ascii="等线" w:hAnsi="等线" w:eastAsia="等线" w:cs="宋体"/>
                <w:color w:val="000000"/>
                <w:kern w:val="0"/>
                <w:sz w:val="16"/>
                <w:szCs w:val="16"/>
              </w:rPr>
              <w:t>-15</w:t>
            </w:r>
            <w:r>
              <w:rPr>
                <w:rFonts w:hint="eastAsia" w:ascii="等线" w:hAnsi="等线" w:eastAsia="等线" w:cs="宋体"/>
                <w:color w:val="000000"/>
                <w:kern w:val="0"/>
                <w:sz w:val="16"/>
                <w:szCs w:val="16"/>
              </w:rPr>
              <w:t>个漏洞）</w:t>
            </w:r>
          </w:p>
          <w:p w14:paraId="71E4F404">
            <w:pPr>
              <w:widowControl/>
              <w:jc w:val="left"/>
              <w:rPr>
                <w:rFonts w:ascii="等线" w:hAnsi="等线" w:eastAsia="等线" w:cs="宋体"/>
                <w:color w:val="000000"/>
                <w:kern w:val="0"/>
                <w:sz w:val="16"/>
                <w:szCs w:val="16"/>
              </w:rPr>
            </w:pPr>
          </w:p>
        </w:tc>
        <w:tc>
          <w:tcPr>
            <w:tcW w:w="1240" w:type="dxa"/>
            <w:tcBorders>
              <w:top w:val="nil"/>
              <w:left w:val="nil"/>
              <w:bottom w:val="single" w:color="auto" w:sz="4" w:space="0"/>
              <w:right w:val="single" w:color="auto" w:sz="4" w:space="0"/>
            </w:tcBorders>
            <w:noWrap/>
            <w:vAlign w:val="bottom"/>
          </w:tcPr>
          <w:p w14:paraId="44D74695">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w:t>
            </w:r>
          </w:p>
        </w:tc>
      </w:tr>
      <w:tr w14:paraId="6E551788">
        <w:tblPrEx>
          <w:tblCellMar>
            <w:top w:w="0" w:type="dxa"/>
            <w:left w:w="108" w:type="dxa"/>
            <w:bottom w:w="0" w:type="dxa"/>
            <w:right w:w="108" w:type="dxa"/>
          </w:tblCellMar>
        </w:tblPrEx>
        <w:trPr>
          <w:trHeight w:val="1425" w:hRule="atLeast"/>
        </w:trPr>
        <w:tc>
          <w:tcPr>
            <w:tcW w:w="520" w:type="dxa"/>
            <w:tcBorders>
              <w:top w:val="nil"/>
              <w:left w:val="single" w:color="auto" w:sz="4" w:space="0"/>
              <w:bottom w:val="single" w:color="auto" w:sz="4" w:space="0"/>
              <w:right w:val="single" w:color="auto" w:sz="4" w:space="0"/>
            </w:tcBorders>
            <w:vAlign w:val="center"/>
          </w:tcPr>
          <w:p w14:paraId="44597C3C">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4</w:t>
            </w:r>
          </w:p>
        </w:tc>
        <w:tc>
          <w:tcPr>
            <w:tcW w:w="1540" w:type="dxa"/>
            <w:tcBorders>
              <w:top w:val="nil"/>
              <w:left w:val="nil"/>
              <w:bottom w:val="single" w:color="auto" w:sz="4" w:space="0"/>
              <w:right w:val="single" w:color="auto" w:sz="4" w:space="0"/>
            </w:tcBorders>
            <w:vAlign w:val="center"/>
          </w:tcPr>
          <w:p w14:paraId="1325D6EF">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技术值守</w:t>
            </w:r>
          </w:p>
        </w:tc>
        <w:tc>
          <w:tcPr>
            <w:tcW w:w="3100" w:type="dxa"/>
            <w:tcBorders>
              <w:top w:val="nil"/>
              <w:left w:val="nil"/>
              <w:bottom w:val="single" w:color="auto" w:sz="4" w:space="0"/>
              <w:right w:val="single" w:color="auto" w:sz="4" w:space="0"/>
            </w:tcBorders>
            <w:vAlign w:val="center"/>
          </w:tcPr>
          <w:p w14:paraId="64FAC03C">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在重要日期及节假日根据要求指定专人专岗完成远程技术值守工作。7X24小时的技术人员响应。</w:t>
            </w:r>
          </w:p>
        </w:tc>
        <w:tc>
          <w:tcPr>
            <w:tcW w:w="3440" w:type="dxa"/>
            <w:tcBorders>
              <w:top w:val="nil"/>
              <w:left w:val="nil"/>
              <w:bottom w:val="single" w:color="auto" w:sz="4" w:space="0"/>
              <w:right w:val="single" w:color="auto" w:sz="4" w:space="0"/>
            </w:tcBorders>
            <w:vAlign w:val="center"/>
          </w:tcPr>
          <w:p w14:paraId="7430C2F1">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重要日期及节假日根据要求指定专人专岗远程完成技术值守工作，7X24小时的技术人员响应。</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（节假日技术值守：春节1</w:t>
            </w:r>
            <w:r>
              <w:rPr>
                <w:rFonts w:ascii="等线" w:hAnsi="等线" w:eastAsia="等线" w:cs="宋体"/>
                <w:color w:val="000000"/>
                <w:kern w:val="0"/>
                <w:sz w:val="16"/>
                <w:szCs w:val="16"/>
              </w:rPr>
              <w:t>9</w:t>
            </w:r>
            <w:r>
              <w:rPr>
                <w:rFonts w:hint="eastAsia" w:ascii="等线" w:hAnsi="等线" w:eastAsia="等线" w:cs="宋体"/>
                <w:color w:val="000000"/>
                <w:kern w:val="0"/>
                <w:sz w:val="16"/>
                <w:szCs w:val="16"/>
              </w:rPr>
              <w:t>天、国庆7天、五一节5天；重要日期技术值守不低于</w:t>
            </w:r>
            <w:r>
              <w:rPr>
                <w:rFonts w:ascii="等线" w:hAnsi="等线" w:eastAsia="等线" w:cs="宋体"/>
                <w:color w:val="000000"/>
                <w:kern w:val="0"/>
                <w:sz w:val="16"/>
                <w:szCs w:val="16"/>
              </w:rPr>
              <w:t>1</w:t>
            </w:r>
            <w:r>
              <w:rPr>
                <w:rFonts w:hint="eastAsia" w:ascii="等线" w:hAnsi="等线" w:eastAsia="等线" w:cs="宋体"/>
                <w:color w:val="000000"/>
                <w:kern w:val="0"/>
                <w:sz w:val="16"/>
                <w:szCs w:val="16"/>
              </w:rPr>
              <w:t>0天。）</w:t>
            </w:r>
          </w:p>
        </w:tc>
        <w:tc>
          <w:tcPr>
            <w:tcW w:w="1240" w:type="dxa"/>
            <w:tcBorders>
              <w:top w:val="nil"/>
              <w:left w:val="nil"/>
              <w:bottom w:val="single" w:color="auto" w:sz="4" w:space="0"/>
              <w:right w:val="single" w:color="auto" w:sz="4" w:space="0"/>
            </w:tcBorders>
            <w:noWrap/>
            <w:vAlign w:val="bottom"/>
          </w:tcPr>
          <w:p w14:paraId="2B50860A">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w:t>
            </w:r>
          </w:p>
        </w:tc>
      </w:tr>
      <w:tr w14:paraId="3AE38598">
        <w:tblPrEx>
          <w:tblCellMar>
            <w:top w:w="0" w:type="dxa"/>
            <w:left w:w="108" w:type="dxa"/>
            <w:bottom w:w="0" w:type="dxa"/>
            <w:right w:w="108" w:type="dxa"/>
          </w:tblCellMar>
        </w:tblPrEx>
        <w:trPr>
          <w:trHeight w:val="3255" w:hRule="atLeast"/>
        </w:trPr>
        <w:tc>
          <w:tcPr>
            <w:tcW w:w="520" w:type="dxa"/>
            <w:tcBorders>
              <w:top w:val="nil"/>
              <w:left w:val="single" w:color="auto" w:sz="4" w:space="0"/>
              <w:bottom w:val="single" w:color="auto" w:sz="4" w:space="0"/>
              <w:right w:val="single" w:color="auto" w:sz="4" w:space="0"/>
            </w:tcBorders>
            <w:vAlign w:val="center"/>
          </w:tcPr>
          <w:p w14:paraId="2B1D7EB0">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5</w:t>
            </w:r>
          </w:p>
        </w:tc>
        <w:tc>
          <w:tcPr>
            <w:tcW w:w="1540" w:type="dxa"/>
            <w:tcBorders>
              <w:top w:val="nil"/>
              <w:left w:val="nil"/>
              <w:bottom w:val="single" w:color="auto" w:sz="4" w:space="0"/>
              <w:right w:val="single" w:color="auto" w:sz="4" w:space="0"/>
            </w:tcBorders>
            <w:vAlign w:val="center"/>
          </w:tcPr>
          <w:p w14:paraId="7440F418">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巡检报告及故障报告</w:t>
            </w:r>
          </w:p>
        </w:tc>
        <w:tc>
          <w:tcPr>
            <w:tcW w:w="3100" w:type="dxa"/>
            <w:tcBorders>
              <w:top w:val="nil"/>
              <w:left w:val="nil"/>
              <w:bottom w:val="single" w:color="auto" w:sz="4" w:space="0"/>
              <w:right w:val="single" w:color="auto" w:sz="4" w:space="0"/>
            </w:tcBorders>
            <w:vAlign w:val="center"/>
          </w:tcPr>
          <w:p w14:paraId="4ABF7A5B">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每月按要求完成官方网站、小程序及云服务器日常维护及网络安全检查并出具报告。每次重要日期及重要节假日按要求完成网络安全检查并出具报告。</w:t>
            </w:r>
          </w:p>
        </w:tc>
        <w:tc>
          <w:tcPr>
            <w:tcW w:w="3440" w:type="dxa"/>
            <w:tcBorders>
              <w:top w:val="nil"/>
              <w:left w:val="nil"/>
              <w:bottom w:val="single" w:color="auto" w:sz="4" w:space="0"/>
              <w:right w:val="single" w:color="auto" w:sz="4" w:space="0"/>
            </w:tcBorders>
            <w:vAlign w:val="center"/>
          </w:tcPr>
          <w:p w14:paraId="746B81AD">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1.整理每次的修复记录，每月按要求完成官方网站、小程序及云服务器日常维护及网络安全检查形成月维护报告。</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2.对于重大安全补丁的修复或重大事件需要整理单独出具事件报告。</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3.每个重大节假日或重要日期完成节前巡检，并形成节前检查报告。</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4.根据每个月是否出现应急事件形成月应急处置服务表。</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5.根据每个月网站、小程序、云服务器、安全中心、网站代码、安全证书巡查结果及网络安全事件形成月信息安全管理表</w:t>
            </w:r>
          </w:p>
        </w:tc>
        <w:tc>
          <w:tcPr>
            <w:tcW w:w="1240" w:type="dxa"/>
            <w:tcBorders>
              <w:top w:val="nil"/>
              <w:left w:val="nil"/>
              <w:bottom w:val="single" w:color="auto" w:sz="4" w:space="0"/>
              <w:right w:val="single" w:color="auto" w:sz="4" w:space="0"/>
            </w:tcBorders>
            <w:noWrap/>
            <w:vAlign w:val="bottom"/>
          </w:tcPr>
          <w:p w14:paraId="18C2B8BA">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w:t>
            </w:r>
          </w:p>
        </w:tc>
      </w:tr>
      <w:tr w14:paraId="39794573">
        <w:tblPrEx>
          <w:tblCellMar>
            <w:top w:w="0" w:type="dxa"/>
            <w:left w:w="108" w:type="dxa"/>
            <w:bottom w:w="0" w:type="dxa"/>
            <w:right w:w="108" w:type="dxa"/>
          </w:tblCellMar>
        </w:tblPrEx>
        <w:trPr>
          <w:trHeight w:val="2055" w:hRule="atLeast"/>
        </w:trPr>
        <w:tc>
          <w:tcPr>
            <w:tcW w:w="520" w:type="dxa"/>
            <w:tcBorders>
              <w:top w:val="nil"/>
              <w:left w:val="single" w:color="auto" w:sz="4" w:space="0"/>
              <w:bottom w:val="single" w:color="auto" w:sz="4" w:space="0"/>
              <w:right w:val="single" w:color="auto" w:sz="4" w:space="0"/>
            </w:tcBorders>
            <w:vAlign w:val="center"/>
          </w:tcPr>
          <w:p w14:paraId="02668247">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6</w:t>
            </w:r>
          </w:p>
        </w:tc>
        <w:tc>
          <w:tcPr>
            <w:tcW w:w="1540" w:type="dxa"/>
            <w:tcBorders>
              <w:top w:val="nil"/>
              <w:left w:val="nil"/>
              <w:bottom w:val="single" w:color="auto" w:sz="4" w:space="0"/>
              <w:right w:val="single" w:color="auto" w:sz="4" w:space="0"/>
            </w:tcBorders>
            <w:vAlign w:val="center"/>
          </w:tcPr>
          <w:p w14:paraId="1229A95C">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技术支持</w:t>
            </w:r>
          </w:p>
        </w:tc>
        <w:tc>
          <w:tcPr>
            <w:tcW w:w="3100" w:type="dxa"/>
            <w:tcBorders>
              <w:top w:val="nil"/>
              <w:left w:val="nil"/>
              <w:bottom w:val="single" w:color="auto" w:sz="4" w:space="0"/>
              <w:right w:val="single" w:color="auto" w:sz="4" w:space="0"/>
            </w:tcBorders>
            <w:noWrap/>
            <w:vAlign w:val="center"/>
          </w:tcPr>
          <w:p w14:paraId="405681D9">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完成与第三方的技术</w:t>
            </w:r>
          </w:p>
        </w:tc>
        <w:tc>
          <w:tcPr>
            <w:tcW w:w="3440" w:type="dxa"/>
            <w:tcBorders>
              <w:top w:val="nil"/>
              <w:left w:val="nil"/>
              <w:bottom w:val="single" w:color="auto" w:sz="4" w:space="0"/>
              <w:right w:val="single" w:color="auto" w:sz="4" w:space="0"/>
            </w:tcBorders>
            <w:vAlign w:val="center"/>
          </w:tcPr>
          <w:p w14:paraId="7F3D4C3C">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完成第三方外部信息系统（网上展厅、数据接口、外部展示等内容）的官网、小程序服务器部署及外链对接。</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完成官方网站的数据统计工作。</w:t>
            </w:r>
          </w:p>
          <w:p w14:paraId="1731CFD0">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维护后台数据看板业务，展示访问量（P</w:t>
            </w:r>
            <w:r>
              <w:rPr>
                <w:rFonts w:ascii="等线" w:hAnsi="等线" w:eastAsia="等线" w:cs="宋体"/>
                <w:color w:val="000000"/>
                <w:kern w:val="0"/>
                <w:sz w:val="16"/>
                <w:szCs w:val="16"/>
              </w:rPr>
              <w:t>V/UV</w:t>
            </w:r>
            <w:r>
              <w:rPr>
                <w:rFonts w:hint="eastAsia" w:ascii="等线" w:hAnsi="等线" w:eastAsia="等线" w:cs="宋体"/>
                <w:color w:val="000000"/>
                <w:kern w:val="0"/>
                <w:sz w:val="16"/>
                <w:szCs w:val="16"/>
              </w:rPr>
              <w:t>等</w:t>
            </w:r>
            <w:r>
              <w:rPr>
                <w:rFonts w:ascii="等线" w:hAnsi="等线" w:eastAsia="等线" w:cs="宋体"/>
                <w:color w:val="000000"/>
                <w:kern w:val="0"/>
                <w:sz w:val="16"/>
                <w:szCs w:val="16"/>
              </w:rPr>
              <w:t>）</w:t>
            </w:r>
            <w:r>
              <w:rPr>
                <w:rFonts w:hint="eastAsia" w:ascii="等线" w:hAnsi="等线" w:eastAsia="等线" w:cs="宋体"/>
                <w:color w:val="000000"/>
                <w:kern w:val="0"/>
                <w:sz w:val="16"/>
                <w:szCs w:val="16"/>
              </w:rPr>
              <w:t>、地域(省内、省外、国际等)、重点页面（网上展厅等）、关键一二级栏目等内容进行统计展示，对访问的用户提供用户画像（地域、新老访客等），对用户的访问行为习惯及偏好进行分析并生成报告。</w:t>
            </w:r>
          </w:p>
        </w:tc>
        <w:tc>
          <w:tcPr>
            <w:tcW w:w="1240" w:type="dxa"/>
            <w:tcBorders>
              <w:top w:val="nil"/>
              <w:left w:val="nil"/>
              <w:bottom w:val="single" w:color="auto" w:sz="4" w:space="0"/>
              <w:right w:val="single" w:color="auto" w:sz="4" w:space="0"/>
            </w:tcBorders>
            <w:noWrap/>
            <w:vAlign w:val="bottom"/>
          </w:tcPr>
          <w:p w14:paraId="55E6FAD9">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w:t>
            </w:r>
          </w:p>
        </w:tc>
      </w:tr>
      <w:tr w14:paraId="65C623A2">
        <w:tblPrEx>
          <w:tblCellMar>
            <w:top w:w="0" w:type="dxa"/>
            <w:left w:w="108" w:type="dxa"/>
            <w:bottom w:w="0" w:type="dxa"/>
            <w:right w:w="108" w:type="dxa"/>
          </w:tblCellMar>
        </w:tblPrEx>
        <w:trPr>
          <w:trHeight w:val="2190" w:hRule="atLeast"/>
        </w:trPr>
        <w:tc>
          <w:tcPr>
            <w:tcW w:w="520" w:type="dxa"/>
            <w:tcBorders>
              <w:top w:val="nil"/>
              <w:left w:val="single" w:color="auto" w:sz="4" w:space="0"/>
              <w:bottom w:val="single" w:color="auto" w:sz="4" w:space="0"/>
              <w:right w:val="single" w:color="auto" w:sz="4" w:space="0"/>
            </w:tcBorders>
            <w:vAlign w:val="center"/>
          </w:tcPr>
          <w:p w14:paraId="730C9BCC">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7</w:t>
            </w:r>
          </w:p>
        </w:tc>
        <w:tc>
          <w:tcPr>
            <w:tcW w:w="1540" w:type="dxa"/>
            <w:tcBorders>
              <w:top w:val="nil"/>
              <w:left w:val="nil"/>
              <w:bottom w:val="single" w:color="auto" w:sz="4" w:space="0"/>
              <w:right w:val="single" w:color="auto" w:sz="4" w:space="0"/>
            </w:tcBorders>
            <w:vAlign w:val="center"/>
          </w:tcPr>
          <w:p w14:paraId="7F4C7F2E">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上级文件要求</w:t>
            </w:r>
          </w:p>
        </w:tc>
        <w:tc>
          <w:tcPr>
            <w:tcW w:w="3100" w:type="dxa"/>
            <w:tcBorders>
              <w:top w:val="nil"/>
              <w:left w:val="nil"/>
              <w:bottom w:val="single" w:color="auto" w:sz="4" w:space="0"/>
              <w:right w:val="single" w:color="auto" w:sz="4" w:space="0"/>
            </w:tcBorders>
            <w:noWrap/>
            <w:vAlign w:val="center"/>
          </w:tcPr>
          <w:p w14:paraId="2A409620">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根据上级或其他单位文件完成相关事宜</w:t>
            </w:r>
          </w:p>
        </w:tc>
        <w:tc>
          <w:tcPr>
            <w:tcW w:w="3440" w:type="dxa"/>
            <w:tcBorders>
              <w:top w:val="nil"/>
              <w:left w:val="nil"/>
              <w:bottom w:val="single" w:color="auto" w:sz="4" w:space="0"/>
              <w:right w:val="single" w:color="auto" w:sz="4" w:space="0"/>
            </w:tcBorders>
            <w:vAlign w:val="center"/>
          </w:tcPr>
          <w:p w14:paraId="2FDC552B">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1.根据文件完成系统调试更换（例国产化适配）。</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2.根据文件要求完成IPV6支持。</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3.根据文件要求完成接口对接、数据同步、数据展示、功能调整等。</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4.根据文件要求填报信息系统资料、信息系统安全情况、信息系统安全责任人等内容。</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5.根据文件要求完成相应整改等工作。</w:t>
            </w:r>
          </w:p>
        </w:tc>
        <w:tc>
          <w:tcPr>
            <w:tcW w:w="1240" w:type="dxa"/>
            <w:tcBorders>
              <w:top w:val="nil"/>
              <w:left w:val="nil"/>
              <w:bottom w:val="single" w:color="auto" w:sz="4" w:space="0"/>
              <w:right w:val="single" w:color="auto" w:sz="4" w:space="0"/>
            </w:tcBorders>
            <w:noWrap/>
            <w:vAlign w:val="bottom"/>
          </w:tcPr>
          <w:p w14:paraId="0BD293A6">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w:t>
            </w:r>
          </w:p>
        </w:tc>
      </w:tr>
      <w:tr w14:paraId="7FC771EE">
        <w:tblPrEx>
          <w:tblCellMar>
            <w:top w:w="0" w:type="dxa"/>
            <w:left w:w="108" w:type="dxa"/>
            <w:bottom w:w="0" w:type="dxa"/>
            <w:right w:w="108" w:type="dxa"/>
          </w:tblCellMar>
        </w:tblPrEx>
        <w:trPr>
          <w:trHeight w:val="915" w:hRule="atLeast"/>
        </w:trPr>
        <w:tc>
          <w:tcPr>
            <w:tcW w:w="520" w:type="dxa"/>
            <w:tcBorders>
              <w:top w:val="nil"/>
              <w:left w:val="single" w:color="auto" w:sz="4" w:space="0"/>
              <w:bottom w:val="single" w:color="auto" w:sz="4" w:space="0"/>
              <w:right w:val="single" w:color="auto" w:sz="4" w:space="0"/>
            </w:tcBorders>
            <w:vAlign w:val="center"/>
          </w:tcPr>
          <w:p w14:paraId="311CDD90">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8</w:t>
            </w:r>
          </w:p>
        </w:tc>
        <w:tc>
          <w:tcPr>
            <w:tcW w:w="1540" w:type="dxa"/>
            <w:tcBorders>
              <w:top w:val="nil"/>
              <w:left w:val="nil"/>
              <w:bottom w:val="single" w:color="auto" w:sz="4" w:space="0"/>
              <w:right w:val="single" w:color="auto" w:sz="4" w:space="0"/>
            </w:tcBorders>
            <w:vAlign w:val="center"/>
          </w:tcPr>
          <w:p w14:paraId="7869D7CB">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等保测评</w:t>
            </w:r>
          </w:p>
        </w:tc>
        <w:tc>
          <w:tcPr>
            <w:tcW w:w="3100" w:type="dxa"/>
            <w:tcBorders>
              <w:top w:val="nil"/>
              <w:left w:val="nil"/>
              <w:bottom w:val="single" w:color="auto" w:sz="4" w:space="0"/>
              <w:right w:val="single" w:color="auto" w:sz="4" w:space="0"/>
            </w:tcBorders>
            <w:noWrap/>
            <w:vAlign w:val="center"/>
          </w:tcPr>
          <w:p w14:paraId="6881CA32">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完成等保测评</w:t>
            </w:r>
          </w:p>
        </w:tc>
        <w:tc>
          <w:tcPr>
            <w:tcW w:w="3440" w:type="dxa"/>
            <w:tcBorders>
              <w:top w:val="nil"/>
              <w:left w:val="nil"/>
              <w:bottom w:val="single" w:color="auto" w:sz="4" w:space="0"/>
              <w:right w:val="single" w:color="auto" w:sz="4" w:space="0"/>
            </w:tcBorders>
            <w:vAlign w:val="center"/>
          </w:tcPr>
          <w:p w14:paraId="132C9C33">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完成官方网站等级保护测评二级的测评及复测的全程技术支持及各类安全事项修复（例关键项整改、漏洞、基线管理等内容）。</w:t>
            </w:r>
          </w:p>
        </w:tc>
        <w:tc>
          <w:tcPr>
            <w:tcW w:w="1240" w:type="dxa"/>
            <w:tcBorders>
              <w:top w:val="nil"/>
              <w:left w:val="nil"/>
              <w:bottom w:val="single" w:color="auto" w:sz="4" w:space="0"/>
              <w:right w:val="single" w:color="auto" w:sz="4" w:space="0"/>
            </w:tcBorders>
            <w:noWrap/>
            <w:vAlign w:val="bottom"/>
          </w:tcPr>
          <w:p w14:paraId="56DC38A4">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w:t>
            </w:r>
          </w:p>
        </w:tc>
      </w:tr>
      <w:tr w14:paraId="01E3D3AF">
        <w:tblPrEx>
          <w:tblCellMar>
            <w:top w:w="0" w:type="dxa"/>
            <w:left w:w="108" w:type="dxa"/>
            <w:bottom w:w="0" w:type="dxa"/>
            <w:right w:w="108" w:type="dxa"/>
          </w:tblCellMar>
        </w:tblPrEx>
        <w:trPr>
          <w:trHeight w:val="2100" w:hRule="atLeast"/>
        </w:trPr>
        <w:tc>
          <w:tcPr>
            <w:tcW w:w="520" w:type="dxa"/>
            <w:tcBorders>
              <w:top w:val="nil"/>
              <w:left w:val="single" w:color="auto" w:sz="4" w:space="0"/>
              <w:bottom w:val="single" w:color="auto" w:sz="4" w:space="0"/>
              <w:right w:val="single" w:color="auto" w:sz="4" w:space="0"/>
            </w:tcBorders>
            <w:noWrap/>
            <w:vAlign w:val="center"/>
          </w:tcPr>
          <w:p w14:paraId="0A4427C4">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9</w:t>
            </w:r>
          </w:p>
        </w:tc>
        <w:tc>
          <w:tcPr>
            <w:tcW w:w="1540" w:type="dxa"/>
            <w:tcBorders>
              <w:top w:val="nil"/>
              <w:left w:val="nil"/>
              <w:bottom w:val="single" w:color="auto" w:sz="4" w:space="0"/>
              <w:right w:val="single" w:color="auto" w:sz="4" w:space="0"/>
            </w:tcBorders>
            <w:noWrap/>
            <w:vAlign w:val="center"/>
          </w:tcPr>
          <w:p w14:paraId="288ABC3C">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应急响应</w:t>
            </w:r>
          </w:p>
        </w:tc>
        <w:tc>
          <w:tcPr>
            <w:tcW w:w="3100" w:type="dxa"/>
            <w:tcBorders>
              <w:top w:val="nil"/>
              <w:left w:val="nil"/>
              <w:bottom w:val="single" w:color="auto" w:sz="4" w:space="0"/>
              <w:right w:val="single" w:color="auto" w:sz="4" w:space="0"/>
            </w:tcBorders>
            <w:vAlign w:val="center"/>
          </w:tcPr>
          <w:p w14:paraId="7E7738E4">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官方网站和官方微信小程序在运行中出现故障，官方网站、微信公众号及小程序云服务器出现网络安全事件，应及时监控并在接到甲方通知（电话、传真、电子邮件、信件）后及时处理并提供7*24小时电话应答服务。须在2小时内响应，如有必要，应在4小时内上门处理相关问题。</w:t>
            </w:r>
          </w:p>
        </w:tc>
        <w:tc>
          <w:tcPr>
            <w:tcW w:w="3440" w:type="dxa"/>
            <w:tcBorders>
              <w:top w:val="nil"/>
              <w:left w:val="nil"/>
              <w:bottom w:val="single" w:color="auto" w:sz="4" w:space="0"/>
              <w:right w:val="single" w:color="auto" w:sz="4" w:space="0"/>
            </w:tcBorders>
            <w:vAlign w:val="center"/>
          </w:tcPr>
          <w:p w14:paraId="2C492B41">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通过技术手段对官方网站、官方小程序、云服务器、微信公众号进行7X24小时的监控，如发生异常情况或安全事件及时响应。</w:t>
            </w:r>
          </w:p>
        </w:tc>
        <w:tc>
          <w:tcPr>
            <w:tcW w:w="1240" w:type="dxa"/>
            <w:tcBorders>
              <w:top w:val="nil"/>
              <w:left w:val="nil"/>
              <w:bottom w:val="single" w:color="auto" w:sz="4" w:space="0"/>
              <w:right w:val="single" w:color="auto" w:sz="4" w:space="0"/>
            </w:tcBorders>
            <w:noWrap/>
            <w:vAlign w:val="bottom"/>
          </w:tcPr>
          <w:p w14:paraId="724F3A8A">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w:t>
            </w:r>
          </w:p>
        </w:tc>
      </w:tr>
      <w:tr w14:paraId="1F570F56">
        <w:tblPrEx>
          <w:tblCellMar>
            <w:top w:w="0" w:type="dxa"/>
            <w:left w:w="108" w:type="dxa"/>
            <w:bottom w:w="0" w:type="dxa"/>
            <w:right w:w="108" w:type="dxa"/>
          </w:tblCellMar>
        </w:tblPrEx>
        <w:trPr>
          <w:trHeight w:val="2100" w:hRule="atLeast"/>
        </w:trPr>
        <w:tc>
          <w:tcPr>
            <w:tcW w:w="520" w:type="dxa"/>
            <w:tcBorders>
              <w:top w:val="nil"/>
              <w:left w:val="single" w:color="auto" w:sz="4" w:space="0"/>
              <w:bottom w:val="single" w:color="auto" w:sz="4" w:space="0"/>
              <w:right w:val="single" w:color="auto" w:sz="4" w:space="0"/>
            </w:tcBorders>
            <w:noWrap/>
            <w:vAlign w:val="center"/>
          </w:tcPr>
          <w:p w14:paraId="7B5A09C7">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10</w:t>
            </w:r>
          </w:p>
        </w:tc>
        <w:tc>
          <w:tcPr>
            <w:tcW w:w="1540" w:type="dxa"/>
            <w:tcBorders>
              <w:top w:val="nil"/>
              <w:left w:val="nil"/>
              <w:bottom w:val="single" w:color="auto" w:sz="4" w:space="0"/>
              <w:right w:val="single" w:color="auto" w:sz="4" w:space="0"/>
            </w:tcBorders>
            <w:noWrap/>
            <w:vAlign w:val="center"/>
          </w:tcPr>
          <w:p w14:paraId="4623839B">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网络安全责任</w:t>
            </w:r>
          </w:p>
        </w:tc>
        <w:tc>
          <w:tcPr>
            <w:tcW w:w="3100" w:type="dxa"/>
            <w:tcBorders>
              <w:top w:val="nil"/>
              <w:left w:val="nil"/>
              <w:bottom w:val="single" w:color="auto" w:sz="4" w:space="0"/>
              <w:right w:val="single" w:color="auto" w:sz="4" w:space="0"/>
            </w:tcBorders>
            <w:vAlign w:val="center"/>
          </w:tcPr>
          <w:p w14:paraId="7AD47BAF">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网络安全责任明细</w:t>
            </w:r>
          </w:p>
        </w:tc>
        <w:tc>
          <w:tcPr>
            <w:tcW w:w="3440" w:type="dxa"/>
            <w:tcBorders>
              <w:top w:val="nil"/>
              <w:left w:val="nil"/>
              <w:bottom w:val="single" w:color="auto" w:sz="4" w:space="0"/>
              <w:right w:val="single" w:color="auto" w:sz="4" w:space="0"/>
            </w:tcBorders>
          </w:tcPr>
          <w:p w14:paraId="2A0A5257">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在进行日常维护和网络安全维护过程中需遵守《中华人民共和国网络安全法》《中华人民共和国数据安全法》《中华人民共和国个人信息保护法》《互联网信息服务管理办法》《中华人民共和国计算机信息系统安全保护条例》《互联网安全保护技术措施规定》及有关法律、法规和行政规章制度、文件规定。</w:t>
            </w:r>
            <w:r>
              <w:rPr>
                <w:rFonts w:hint="eastAsia" w:ascii="等线" w:hAnsi="等线" w:eastAsia="等线" w:cs="宋体"/>
                <w:color w:val="000000"/>
                <w:kern w:val="0"/>
                <w:sz w:val="16"/>
                <w:szCs w:val="16"/>
              </w:rPr>
              <w:br w:type="page"/>
            </w:r>
            <w:r>
              <w:rPr>
                <w:rFonts w:hint="eastAsia" w:ascii="等线" w:hAnsi="等线" w:eastAsia="等线" w:cs="宋体"/>
                <w:color w:val="000000"/>
                <w:kern w:val="0"/>
                <w:sz w:val="16"/>
                <w:szCs w:val="16"/>
              </w:rPr>
              <w:t>报价方在进行日常维护和网络安全维护过程保证不利用网络危害国家安全、泄露国家秘密，不侵犯国家的、社会的、集体的利益和第三方的合法权益，不从事违法犯罪活动。</w:t>
            </w:r>
            <w:r>
              <w:rPr>
                <w:rFonts w:hint="eastAsia" w:ascii="等线" w:hAnsi="等线" w:eastAsia="等线" w:cs="宋体"/>
                <w:color w:val="000000"/>
                <w:kern w:val="0"/>
                <w:sz w:val="16"/>
                <w:szCs w:val="16"/>
              </w:rPr>
              <w:br w:type="page"/>
            </w:r>
          </w:p>
          <w:p w14:paraId="351A4650">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在网站日常维护中未经允许不得更改甲方所提供任何的资料内容。</w:t>
            </w:r>
            <w:r>
              <w:rPr>
                <w:rFonts w:hint="eastAsia" w:ascii="等线" w:hAnsi="等线" w:eastAsia="等线" w:cs="宋体"/>
                <w:color w:val="000000"/>
                <w:kern w:val="0"/>
                <w:sz w:val="16"/>
                <w:szCs w:val="16"/>
              </w:rPr>
              <w:br w:type="page"/>
            </w:r>
          </w:p>
          <w:p w14:paraId="00E61A62">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在网站日常维护中未经允许不得上传任何资料内容，</w:t>
            </w:r>
            <w:r>
              <w:rPr>
                <w:rFonts w:hint="eastAsia" w:ascii="等线" w:hAnsi="等线" w:eastAsia="等线" w:cs="宋体"/>
                <w:color w:val="000000"/>
                <w:kern w:val="0"/>
                <w:sz w:val="16"/>
                <w:szCs w:val="16"/>
              </w:rPr>
              <w:br w:type="page"/>
            </w:r>
            <w:r>
              <w:rPr>
                <w:rFonts w:hint="eastAsia" w:ascii="等线" w:hAnsi="等线" w:eastAsia="等线" w:cs="宋体"/>
                <w:color w:val="000000"/>
                <w:kern w:val="0"/>
                <w:sz w:val="16"/>
                <w:szCs w:val="16"/>
              </w:rPr>
              <w:t>如发生网络安全事故，立即采取应急措施，保留有关原始记录，并在2小时内向甲方汇报，</w:t>
            </w:r>
            <w:r>
              <w:rPr>
                <w:rFonts w:hint="eastAsia" w:ascii="等线" w:hAnsi="等线" w:eastAsia="等线" w:cs="宋体"/>
                <w:color w:val="000000"/>
                <w:kern w:val="0"/>
                <w:sz w:val="16"/>
                <w:szCs w:val="16"/>
              </w:rPr>
              <w:br w:type="page"/>
            </w:r>
            <w:r>
              <w:rPr>
                <w:rFonts w:hint="eastAsia" w:ascii="等线" w:hAnsi="等线" w:eastAsia="等线" w:cs="宋体"/>
                <w:color w:val="000000"/>
                <w:kern w:val="0"/>
                <w:sz w:val="16"/>
                <w:szCs w:val="16"/>
              </w:rPr>
              <w:t>若违反以上有关条款和国家相关法律法规的，直接承担相应法律责任。</w:t>
            </w:r>
            <w:r>
              <w:rPr>
                <w:rFonts w:hint="eastAsia" w:ascii="等线" w:hAnsi="等线" w:eastAsia="等线" w:cs="宋体"/>
                <w:color w:val="000000"/>
                <w:kern w:val="0"/>
                <w:sz w:val="16"/>
                <w:szCs w:val="16"/>
              </w:rPr>
              <w:br w:type="page"/>
            </w:r>
          </w:p>
          <w:p w14:paraId="4358A14E">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将保证网站、微信公众号、小程序各项代码、各项资料、各项信息及各项数据的使用仅限于成都武侯祠博物馆。若违反约定，将承担造成的一切损失。</w:t>
            </w:r>
            <w:r>
              <w:rPr>
                <w:rFonts w:hint="eastAsia" w:ascii="等线" w:hAnsi="等线" w:eastAsia="等线" w:cs="宋体"/>
                <w:color w:val="000000"/>
                <w:kern w:val="0"/>
                <w:sz w:val="16"/>
                <w:szCs w:val="16"/>
              </w:rPr>
              <w:br w:type="page"/>
            </w:r>
            <w:r>
              <w:rPr>
                <w:rFonts w:hint="eastAsia" w:ascii="等线" w:hAnsi="等线" w:eastAsia="等线" w:cs="宋体"/>
                <w:color w:val="000000"/>
                <w:kern w:val="0"/>
                <w:sz w:val="16"/>
                <w:szCs w:val="16"/>
              </w:rPr>
              <w:t>必须签订第三方信息技术服务机构网络与数据安全责任书，并落实到具体维护人员。</w:t>
            </w:r>
            <w:r>
              <w:rPr>
                <w:rFonts w:hint="eastAsia" w:ascii="等线" w:hAnsi="等线" w:eastAsia="等线" w:cs="宋体"/>
                <w:color w:val="000000"/>
                <w:kern w:val="0"/>
                <w:sz w:val="16"/>
                <w:szCs w:val="16"/>
              </w:rPr>
              <w:br w:type="page"/>
            </w:r>
          </w:p>
        </w:tc>
        <w:tc>
          <w:tcPr>
            <w:tcW w:w="1240" w:type="dxa"/>
            <w:tcBorders>
              <w:top w:val="nil"/>
              <w:left w:val="nil"/>
              <w:bottom w:val="single" w:color="auto" w:sz="4" w:space="0"/>
              <w:right w:val="single" w:color="auto" w:sz="4" w:space="0"/>
            </w:tcBorders>
            <w:noWrap/>
            <w:vAlign w:val="bottom"/>
          </w:tcPr>
          <w:p w14:paraId="3542DA7D">
            <w:pPr>
              <w:widowControl/>
              <w:jc w:val="left"/>
              <w:rPr>
                <w:rFonts w:ascii="等线" w:hAnsi="等线" w:eastAsia="等线" w:cs="宋体"/>
                <w:color w:val="000000"/>
                <w:kern w:val="0"/>
                <w:sz w:val="16"/>
                <w:szCs w:val="16"/>
              </w:rPr>
            </w:pPr>
          </w:p>
        </w:tc>
      </w:tr>
      <w:tr w14:paraId="08AC3FD8">
        <w:tblPrEx>
          <w:tblCellMar>
            <w:top w:w="0" w:type="dxa"/>
            <w:left w:w="108" w:type="dxa"/>
            <w:bottom w:w="0" w:type="dxa"/>
            <w:right w:w="108" w:type="dxa"/>
          </w:tblCellMar>
        </w:tblPrEx>
        <w:trPr>
          <w:trHeight w:val="5400" w:hRule="atLeast"/>
        </w:trPr>
        <w:tc>
          <w:tcPr>
            <w:tcW w:w="520" w:type="dxa"/>
            <w:tcBorders>
              <w:top w:val="nil"/>
              <w:left w:val="single" w:color="auto" w:sz="4" w:space="0"/>
              <w:bottom w:val="single" w:color="auto" w:sz="4" w:space="0"/>
              <w:right w:val="single" w:color="auto" w:sz="4" w:space="0"/>
            </w:tcBorders>
            <w:noWrap/>
            <w:vAlign w:val="center"/>
          </w:tcPr>
          <w:p w14:paraId="4014B768">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1</w:t>
            </w:r>
            <w:r>
              <w:rPr>
                <w:rFonts w:ascii="等线" w:hAnsi="等线" w:eastAsia="等线" w:cs="宋体"/>
                <w:color w:val="000000"/>
                <w:kern w:val="0"/>
                <w:sz w:val="16"/>
                <w:szCs w:val="16"/>
              </w:rPr>
              <w:t>1</w:t>
            </w:r>
          </w:p>
        </w:tc>
        <w:tc>
          <w:tcPr>
            <w:tcW w:w="1540" w:type="dxa"/>
            <w:tcBorders>
              <w:top w:val="nil"/>
              <w:left w:val="nil"/>
              <w:bottom w:val="single" w:color="auto" w:sz="4" w:space="0"/>
              <w:right w:val="single" w:color="auto" w:sz="4" w:space="0"/>
            </w:tcBorders>
            <w:noWrap/>
            <w:vAlign w:val="center"/>
          </w:tcPr>
          <w:p w14:paraId="60EA4309">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相关说明</w:t>
            </w:r>
          </w:p>
        </w:tc>
        <w:tc>
          <w:tcPr>
            <w:tcW w:w="3100" w:type="dxa"/>
            <w:tcBorders>
              <w:top w:val="nil"/>
              <w:left w:val="nil"/>
              <w:bottom w:val="single" w:color="auto" w:sz="4" w:space="0"/>
              <w:right w:val="single" w:color="auto" w:sz="4" w:space="0"/>
            </w:tcBorders>
            <w:noWrap/>
            <w:vAlign w:val="center"/>
          </w:tcPr>
          <w:p w14:paraId="66C998CE">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相关说明</w:t>
            </w:r>
          </w:p>
        </w:tc>
        <w:tc>
          <w:tcPr>
            <w:tcW w:w="3440" w:type="dxa"/>
            <w:tcBorders>
              <w:top w:val="nil"/>
              <w:left w:val="nil"/>
              <w:bottom w:val="single" w:color="auto" w:sz="4" w:space="0"/>
              <w:right w:val="single" w:color="auto" w:sz="4" w:space="0"/>
            </w:tcBorders>
          </w:tcPr>
          <w:p w14:paraId="3FFDD047">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1.报价为含税价，维护时间为1年，报价单位为元。</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2.发票品目暂定为：信息技术服务</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3.支付方式暂定为每完成3个月维护后进行考核，根据考核按分数进行比例支付维护费用。</w:t>
            </w:r>
            <w:r>
              <w:rPr>
                <w:rFonts w:hint="eastAsia" w:ascii="等线" w:hAnsi="等线" w:eastAsia="等线" w:cs="宋体"/>
                <w:color w:val="000000"/>
                <w:kern w:val="0"/>
                <w:sz w:val="16"/>
                <w:szCs w:val="16"/>
              </w:rPr>
              <w:br w:type="textWrapping"/>
            </w:r>
            <w:r>
              <w:rPr>
                <w:rFonts w:hint="eastAsia" w:ascii="等线" w:hAnsi="等线" w:eastAsia="等线" w:cs="宋体"/>
                <w:color w:val="000000"/>
                <w:kern w:val="0"/>
                <w:sz w:val="16"/>
                <w:szCs w:val="16"/>
              </w:rPr>
              <w:t>4.如达成合作协议，在签订保密协议和第三方信息技术服务机构网络与数据安全责任书后，甲方交付官方网站和小程序全套资料(包含源代码、数据库、各项账号密码、关键数据节点)，合同方按以上维护内容及合同执行运维工作。</w:t>
            </w:r>
          </w:p>
        </w:tc>
        <w:tc>
          <w:tcPr>
            <w:tcW w:w="1240" w:type="dxa"/>
            <w:tcBorders>
              <w:top w:val="nil"/>
              <w:left w:val="nil"/>
              <w:bottom w:val="single" w:color="auto" w:sz="4" w:space="0"/>
              <w:right w:val="single" w:color="auto" w:sz="4" w:space="0"/>
            </w:tcBorders>
            <w:noWrap/>
            <w:vAlign w:val="bottom"/>
          </w:tcPr>
          <w:p w14:paraId="717CB961">
            <w:pPr>
              <w:widowControl/>
              <w:jc w:val="left"/>
              <w:rPr>
                <w:rFonts w:ascii="等线" w:hAnsi="等线" w:eastAsia="等线" w:cs="宋体"/>
                <w:color w:val="000000"/>
                <w:kern w:val="0"/>
                <w:sz w:val="16"/>
                <w:szCs w:val="16"/>
              </w:rPr>
            </w:pPr>
            <w:r>
              <w:rPr>
                <w:rFonts w:hint="eastAsia" w:ascii="等线" w:hAnsi="等线" w:eastAsia="等线" w:cs="宋体"/>
                <w:color w:val="000000"/>
                <w:kern w:val="0"/>
                <w:sz w:val="16"/>
                <w:szCs w:val="16"/>
              </w:rPr>
              <w:t>　</w:t>
            </w:r>
          </w:p>
        </w:tc>
      </w:tr>
    </w:tbl>
    <w:p w14:paraId="29A136E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E32"/>
    <w:rsid w:val="00023967"/>
    <w:rsid w:val="00096700"/>
    <w:rsid w:val="0012505E"/>
    <w:rsid w:val="001369C3"/>
    <w:rsid w:val="00197E91"/>
    <w:rsid w:val="003454B1"/>
    <w:rsid w:val="003C381B"/>
    <w:rsid w:val="003F07A8"/>
    <w:rsid w:val="004D2824"/>
    <w:rsid w:val="005C3E32"/>
    <w:rsid w:val="005D30B4"/>
    <w:rsid w:val="00891ABA"/>
    <w:rsid w:val="008927BA"/>
    <w:rsid w:val="009C01A0"/>
    <w:rsid w:val="00AA089B"/>
    <w:rsid w:val="00B24C22"/>
    <w:rsid w:val="00B24D59"/>
    <w:rsid w:val="00B3471C"/>
    <w:rsid w:val="00CC73D9"/>
    <w:rsid w:val="00DA2288"/>
    <w:rsid w:val="00E0280B"/>
    <w:rsid w:val="00F24C96"/>
    <w:rsid w:val="00F40E12"/>
    <w:rsid w:val="00F77248"/>
    <w:rsid w:val="00FB7799"/>
    <w:rsid w:val="1C084477"/>
    <w:rsid w:val="31E97689"/>
    <w:rsid w:val="504A64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alloon Text"/>
    <w:basedOn w:val="1"/>
    <w:link w:val="6"/>
    <w:semiHidden/>
    <w:unhideWhenUsed/>
    <w:uiPriority w:val="99"/>
    <w:rPr>
      <w:sz w:val="18"/>
      <w:szCs w:val="18"/>
    </w:rPr>
  </w:style>
  <w:style w:type="paragraph" w:styleId="5">
    <w:name w:val="List Paragraph"/>
    <w:basedOn w:val="1"/>
    <w:qFormat/>
    <w:uiPriority w:val="34"/>
    <w:pPr>
      <w:ind w:firstLine="420" w:firstLineChars="200"/>
    </w:pPr>
  </w:style>
  <w:style w:type="character" w:customStyle="1" w:styleId="6">
    <w:name w:val="批注框文本 字符"/>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3243</Words>
  <Characters>3505</Characters>
  <Lines>26</Lines>
  <Paragraphs>7</Paragraphs>
  <TotalTime>72</TotalTime>
  <ScaleCrop>false</ScaleCrop>
  <LinksUpToDate>false</LinksUpToDate>
  <CharactersWithSpaces>3546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2025-10-13T06:46:00Z</dcterms:created>
  <dc:creator>john</dc:creator>
  <cp:lastModifiedBy>金克拉</cp:lastModifiedBy>
  <cp:lastPrinted>2026-10-23T08:22:00Z</cp:lastPrinted>
  <dcterms:modified xsi:type="dcterms:W3CDTF">2026-10-25T08:29:28Z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eyJoZGlkIjoiYTBmNTVlZTY2MjYyMzc2MGM1NjFlODEyZWU0MTI5ODIiLCJ1c2VySWQiOiIzNjkwODIzMTIifQ==</vt:lpwstr>
  </property>
  <property fmtid="{D5CDD505-2E9C-101B-9397-08002B2CF9AE}" pid="3" name="KSOProductBuildVer">
    <vt:lpwstr>2052-12.1.0.29161</vt:lpwstr>
  </property>
  <property fmtid="{D5CDD505-2E9C-101B-9397-08002B2CF9AE}" pid="4" name="ICV">
    <vt:lpwstr>A29B4AC0C6BF4B7E9D1DDD9BFF19281D_12</vt:lpwstr>
  </property>
</Properties>
</file>