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422" w:rsidRDefault="00253184">
      <w:pPr>
        <w:spacing w:line="576" w:lineRule="exact"/>
        <w:jc w:val="left"/>
        <w:rPr>
          <w:rFonts w:eastAsia="黑体"/>
          <w:kern w:val="0"/>
          <w:sz w:val="32"/>
          <w:szCs w:val="30"/>
        </w:rPr>
      </w:pPr>
      <w:bookmarkStart w:id="0" w:name="_GoBack"/>
      <w:bookmarkEnd w:id="0"/>
      <w:r>
        <w:rPr>
          <w:rFonts w:ascii="黑体" w:eastAsia="黑体" w:hAnsi="黑体" w:hint="eastAsia"/>
          <w:color w:val="000000"/>
          <w:sz w:val="32"/>
          <w:szCs w:val="30"/>
        </w:rPr>
        <w:t>附件</w:t>
      </w:r>
      <w:r>
        <w:rPr>
          <w:rFonts w:ascii="黑体" w:eastAsia="黑体" w:hAnsi="黑体" w:hint="eastAsia"/>
          <w:color w:val="000000"/>
          <w:sz w:val="32"/>
          <w:szCs w:val="30"/>
        </w:rPr>
        <w:t>3</w:t>
      </w:r>
    </w:p>
    <w:tbl>
      <w:tblPr>
        <w:tblW w:w="9775" w:type="dxa"/>
        <w:tblInd w:w="-308" w:type="dxa"/>
        <w:tblLayout w:type="fixed"/>
        <w:tblLook w:val="04A0" w:firstRow="1" w:lastRow="0" w:firstColumn="1" w:lastColumn="0" w:noHBand="0" w:noVBand="1"/>
      </w:tblPr>
      <w:tblGrid>
        <w:gridCol w:w="805"/>
        <w:gridCol w:w="6619"/>
        <w:gridCol w:w="2351"/>
      </w:tblGrid>
      <w:tr w:rsidR="00EC1422">
        <w:trPr>
          <w:trHeight w:val="1660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C1422" w:rsidRDefault="00253184">
            <w:pPr>
              <w:spacing w:line="600" w:lineRule="exact"/>
              <w:jc w:val="center"/>
              <w:rPr>
                <w:rFonts w:ascii="方正小标宋_GBK" w:eastAsia="方正小标宋_GBK" w:hAnsi="仿宋" w:cs="仿宋"/>
                <w:color w:val="000000"/>
                <w:sz w:val="44"/>
                <w:szCs w:val="44"/>
              </w:rPr>
            </w:pPr>
            <w:r>
              <w:rPr>
                <w:rFonts w:ascii="方正小标宋_GBK" w:eastAsia="方正小标宋_GBK" w:hAnsi="仿宋" w:cs="仿宋" w:hint="eastAsia"/>
                <w:color w:val="000000"/>
                <w:sz w:val="44"/>
                <w:szCs w:val="44"/>
              </w:rPr>
              <w:t>（供应商名称）</w:t>
            </w:r>
          </w:p>
          <w:p w:rsidR="00EC1422" w:rsidRDefault="00253184">
            <w:pPr>
              <w:spacing w:line="600" w:lineRule="exact"/>
              <w:jc w:val="center"/>
              <w:rPr>
                <w:rFonts w:ascii="方正小标宋_GBK" w:eastAsia="方正小标宋_GBK" w:hAnsi="仿宋" w:cs="仿宋"/>
                <w:color w:val="000000"/>
                <w:sz w:val="44"/>
                <w:szCs w:val="44"/>
              </w:rPr>
            </w:pPr>
            <w:r>
              <w:rPr>
                <w:rFonts w:ascii="方正小标宋_GBK" w:eastAsia="方正小标宋_GBK" w:hAnsi="仿宋" w:cs="仿宋" w:hint="eastAsia"/>
                <w:color w:val="000000"/>
                <w:sz w:val="44"/>
                <w:szCs w:val="44"/>
              </w:rPr>
              <w:t>关于</w:t>
            </w:r>
            <w:r>
              <w:rPr>
                <w:rFonts w:ascii="方正小标宋_GBK" w:eastAsia="方正小标宋_GBK" w:hAnsi="仿宋" w:cs="仿宋" w:hint="eastAsia"/>
                <w:color w:val="000000"/>
                <w:sz w:val="44"/>
                <w:szCs w:val="44"/>
              </w:rPr>
              <w:t>成都武侯祠锦里文化旅游街区商业空间资产租金评估项目</w:t>
            </w:r>
            <w:r>
              <w:rPr>
                <w:rFonts w:ascii="方正小标宋_GBK" w:eastAsia="方正小标宋_GBK" w:hAnsi="仿宋" w:cs="仿宋" w:hint="eastAsia"/>
                <w:color w:val="000000"/>
                <w:sz w:val="44"/>
                <w:szCs w:val="44"/>
              </w:rPr>
              <w:t>的报价明细表</w:t>
            </w:r>
          </w:p>
          <w:p w:rsidR="00EC1422" w:rsidRDefault="00EC1422">
            <w:pPr>
              <w:spacing w:line="576" w:lineRule="exact"/>
              <w:ind w:firstLineChars="200" w:firstLine="640"/>
              <w:rPr>
                <w:rFonts w:ascii="Times New Roman Regular" w:eastAsia="方正仿宋_GBK" w:hAnsi="Times New Roman Regular" w:cs="Times New Roman Regular"/>
                <w:color w:val="000000"/>
                <w:sz w:val="32"/>
                <w:szCs w:val="30"/>
              </w:rPr>
            </w:pPr>
          </w:p>
          <w:p w:rsidR="00EC1422" w:rsidRDefault="00253184">
            <w:pPr>
              <w:spacing w:line="576" w:lineRule="exact"/>
              <w:ind w:firstLineChars="200" w:firstLine="640"/>
              <w:rPr>
                <w:rFonts w:ascii="方正小标宋_GBK" w:eastAsia="方正小标宋_GBK" w:hAnsi="仿宋" w:cs="仿宋"/>
                <w:color w:val="000000"/>
                <w:sz w:val="44"/>
                <w:szCs w:val="44"/>
              </w:rPr>
            </w:pP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32"/>
                <w:szCs w:val="30"/>
              </w:rPr>
              <w:t>本项目</w:t>
            </w: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32"/>
                <w:szCs w:val="30"/>
              </w:rPr>
              <w:t>以</w:t>
            </w:r>
            <w:r>
              <w:rPr>
                <w:rFonts w:ascii="Times New Roman Regular" w:eastAsia="方正仿宋_GBK" w:hAnsi="Times New Roman Regular" w:cs="Times New Roman Regular"/>
                <w:color w:val="000000"/>
                <w:sz w:val="32"/>
                <w:szCs w:val="30"/>
              </w:rPr>
              <w:t>四川省资产评估协会关于《资产评估机构报送资产评估服务收费标准》的通知（</w:t>
            </w:r>
            <w:proofErr w:type="gramStart"/>
            <w:r>
              <w:rPr>
                <w:rFonts w:ascii="Times New Roman Regular" w:eastAsia="方正仿宋_GBK" w:hAnsi="Times New Roman Regular" w:cs="Times New Roman Regular"/>
                <w:color w:val="000000"/>
                <w:sz w:val="32"/>
                <w:szCs w:val="30"/>
              </w:rPr>
              <w:t>川评协</w:t>
            </w:r>
            <w:proofErr w:type="gramEnd"/>
            <w:r>
              <w:rPr>
                <w:rFonts w:ascii="Times New Roman Regular" w:eastAsia="方正仿宋_GBK" w:hAnsi="Times New Roman Regular" w:cs="Times New Roman Regular"/>
                <w:color w:val="000000"/>
                <w:sz w:val="32"/>
                <w:szCs w:val="30"/>
              </w:rPr>
              <w:t>〔</w:t>
            </w:r>
            <w:r>
              <w:rPr>
                <w:rFonts w:ascii="Times New Roman Regular" w:eastAsia="方正仿宋_GBK" w:hAnsi="Times New Roman Regular" w:cs="Times New Roman Regular"/>
                <w:color w:val="000000"/>
                <w:sz w:val="32"/>
                <w:szCs w:val="30"/>
              </w:rPr>
              <w:t>2017</w:t>
            </w:r>
            <w:r>
              <w:rPr>
                <w:rFonts w:ascii="Times New Roman Regular" w:eastAsia="方正仿宋_GBK" w:hAnsi="Times New Roman Regular" w:cs="Times New Roman Regular"/>
                <w:color w:val="000000"/>
                <w:sz w:val="32"/>
                <w:szCs w:val="30"/>
              </w:rPr>
              <w:t>〕</w:t>
            </w:r>
            <w:r>
              <w:rPr>
                <w:rFonts w:ascii="Times New Roman Regular" w:eastAsia="方正仿宋_GBK" w:hAnsi="Times New Roman Regular" w:cs="Times New Roman Regular"/>
                <w:color w:val="000000"/>
                <w:sz w:val="32"/>
                <w:szCs w:val="30"/>
              </w:rPr>
              <w:t>23</w:t>
            </w:r>
            <w:r>
              <w:rPr>
                <w:rFonts w:ascii="Times New Roman Regular" w:eastAsia="方正仿宋_GBK" w:hAnsi="Times New Roman Regular" w:cs="Times New Roman Regular"/>
                <w:color w:val="000000"/>
                <w:sz w:val="32"/>
                <w:szCs w:val="30"/>
              </w:rPr>
              <w:t>号）及《成都市房地产估价行业收费指导意见》（</w:t>
            </w:r>
            <w:proofErr w:type="gramStart"/>
            <w:r>
              <w:rPr>
                <w:rFonts w:ascii="Times New Roman Regular" w:eastAsia="方正仿宋_GBK" w:hAnsi="Times New Roman Regular" w:cs="Times New Roman Regular"/>
                <w:color w:val="000000"/>
                <w:sz w:val="32"/>
                <w:szCs w:val="30"/>
              </w:rPr>
              <w:t>成房评协</w:t>
            </w:r>
            <w:proofErr w:type="gramEnd"/>
            <w:r>
              <w:rPr>
                <w:rFonts w:ascii="Times New Roman Regular" w:eastAsia="方正仿宋_GBK" w:hAnsi="Times New Roman Regular" w:cs="Times New Roman Regular"/>
                <w:color w:val="000000"/>
                <w:sz w:val="32"/>
                <w:szCs w:val="30"/>
              </w:rPr>
              <w:t>〔</w:t>
            </w:r>
            <w:r>
              <w:rPr>
                <w:rFonts w:ascii="Times New Roman Regular" w:eastAsia="方正仿宋_GBK" w:hAnsi="Times New Roman Regular" w:cs="Times New Roman Regular"/>
                <w:color w:val="000000"/>
                <w:sz w:val="32"/>
                <w:szCs w:val="30"/>
              </w:rPr>
              <w:t>2016</w:t>
            </w:r>
            <w:r>
              <w:rPr>
                <w:rFonts w:ascii="Times New Roman Regular" w:eastAsia="方正仿宋_GBK" w:hAnsi="Times New Roman Regular" w:cs="Times New Roman Regular"/>
                <w:color w:val="000000"/>
                <w:sz w:val="32"/>
                <w:szCs w:val="30"/>
              </w:rPr>
              <w:t>〕</w:t>
            </w:r>
            <w:r>
              <w:rPr>
                <w:rFonts w:ascii="Times New Roman Regular" w:eastAsia="方正仿宋_GBK" w:hAnsi="Times New Roman Regular" w:cs="Times New Roman Regular"/>
                <w:color w:val="000000"/>
                <w:sz w:val="32"/>
                <w:szCs w:val="30"/>
              </w:rPr>
              <w:t>6</w:t>
            </w:r>
            <w:r>
              <w:rPr>
                <w:rFonts w:ascii="Times New Roman Regular" w:eastAsia="方正仿宋_GBK" w:hAnsi="Times New Roman Regular" w:cs="Times New Roman Regular"/>
                <w:color w:val="000000"/>
                <w:sz w:val="32"/>
                <w:szCs w:val="30"/>
              </w:rPr>
              <w:t>号文）的规定</w:t>
            </w: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32"/>
                <w:szCs w:val="30"/>
              </w:rPr>
              <w:t>为限价</w:t>
            </w:r>
            <w:r>
              <w:rPr>
                <w:rFonts w:ascii="Times New Roman Regular" w:eastAsia="方正仿宋_GBK" w:hAnsi="Times New Roman Regular" w:cs="Times New Roman Regular"/>
                <w:color w:val="000000"/>
                <w:sz w:val="32"/>
                <w:szCs w:val="30"/>
              </w:rPr>
              <w:t>，</w:t>
            </w: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32"/>
                <w:szCs w:val="30"/>
              </w:rPr>
              <w:t>供应商</w:t>
            </w:r>
            <w:r>
              <w:rPr>
                <w:rFonts w:ascii="Times New Roman Regular" w:eastAsia="方正仿宋_GBK" w:hAnsi="Times New Roman Regular" w:cs="Times New Roman Regular"/>
                <w:color w:val="000000"/>
                <w:sz w:val="32"/>
                <w:szCs w:val="30"/>
              </w:rPr>
              <w:t>在</w:t>
            </w: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32"/>
                <w:szCs w:val="30"/>
              </w:rPr>
              <w:t>此</w:t>
            </w:r>
            <w:r>
              <w:rPr>
                <w:rFonts w:ascii="Times New Roman Regular" w:eastAsia="方正仿宋_GBK" w:hAnsi="Times New Roman Regular" w:cs="Times New Roman Regular"/>
                <w:color w:val="000000"/>
                <w:sz w:val="32"/>
                <w:szCs w:val="30"/>
              </w:rPr>
              <w:t>限价基础上</w:t>
            </w: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32"/>
                <w:szCs w:val="30"/>
              </w:rPr>
              <w:t>下浮报价</w:t>
            </w: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32"/>
                <w:szCs w:val="30"/>
              </w:rPr>
              <w:t>：</w:t>
            </w:r>
          </w:p>
        </w:tc>
      </w:tr>
      <w:tr w:rsidR="00EC1422">
        <w:trPr>
          <w:trHeight w:val="84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1422" w:rsidRDefault="00253184">
            <w:pPr>
              <w:jc w:val="center"/>
              <w:rPr>
                <w:rFonts w:ascii="Times New Roman Regular" w:eastAsia="方正仿宋_GB2312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2312" w:hAnsi="Times New Roman Regular" w:cs="Times New Roman Regular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1422" w:rsidRDefault="00253184">
            <w:pPr>
              <w:jc w:val="center"/>
              <w:rPr>
                <w:rFonts w:ascii="Times New Roman Regular" w:eastAsia="方正仿宋_GB2312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2312" w:hAnsi="Times New Roman Regular" w:cs="Times New Roman Regular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22" w:rsidRDefault="00253184">
            <w:pPr>
              <w:jc w:val="center"/>
              <w:rPr>
                <w:rFonts w:ascii="Times New Roman Regular" w:eastAsia="方正仿宋_GB2312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2312" w:hAnsi="Times New Roman Regular" w:cs="Times New Roman Regular" w:hint="eastAsia"/>
                <w:sz w:val="28"/>
                <w:szCs w:val="28"/>
              </w:rPr>
              <w:t>下浮比例（</w:t>
            </w:r>
            <w:r>
              <w:rPr>
                <w:rFonts w:ascii="Times New Roman Regular" w:eastAsia="方正仿宋_GB2312" w:hAnsi="Times New Roman Regular" w:cs="Times New Roman Regular" w:hint="eastAsia"/>
                <w:sz w:val="28"/>
                <w:szCs w:val="28"/>
              </w:rPr>
              <w:t>%</w:t>
            </w:r>
            <w:r>
              <w:rPr>
                <w:rFonts w:ascii="Times New Roman Regular" w:eastAsia="方正仿宋_GB2312" w:hAnsi="Times New Roman Regular" w:cs="Times New Roman Regular" w:hint="eastAsia"/>
                <w:sz w:val="28"/>
                <w:szCs w:val="28"/>
              </w:rPr>
              <w:t>）</w:t>
            </w:r>
          </w:p>
        </w:tc>
      </w:tr>
      <w:tr w:rsidR="00EC1422">
        <w:trPr>
          <w:trHeight w:val="901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1422" w:rsidRDefault="00253184">
            <w:pPr>
              <w:jc w:val="center"/>
              <w:rPr>
                <w:rFonts w:ascii="Times New Roman Regular" w:eastAsia="方正仿宋_GB2312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2312" w:hAnsi="Times New Roman Regular" w:cs="Times New Roman Regular" w:hint="eastAsia"/>
                <w:color w:val="000000"/>
                <w:sz w:val="24"/>
              </w:rPr>
              <w:t>1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22" w:rsidRDefault="00253184">
            <w:pPr>
              <w:jc w:val="center"/>
              <w:rPr>
                <w:rFonts w:ascii="Times New Roman Regular" w:eastAsia="方正仿宋_GB2312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方正仿宋_GB2312" w:hAnsi="Times New Roman Regular" w:cs="Times New Roman Regular" w:hint="eastAsia"/>
                <w:sz w:val="28"/>
                <w:szCs w:val="28"/>
              </w:rPr>
              <w:t>单位建筑面积评估价格</w:t>
            </w:r>
            <w:r>
              <w:rPr>
                <w:rStyle w:val="a6"/>
                <w:rFonts w:ascii="Times New Roman Regular" w:eastAsia="方正仿宋_GB2312" w:hAnsi="Times New Roman Regular" w:cs="Times New Roman Regular" w:hint="eastAsia"/>
                <w:sz w:val="28"/>
                <w:szCs w:val="28"/>
              </w:rPr>
              <w:footnoteReference w:id="1"/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22" w:rsidRDefault="00253184">
            <w:pPr>
              <w:rPr>
                <w:rFonts w:ascii="Times New Roman Regular" w:eastAsia="方正仿宋_GB2312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2312" w:hAnsi="Times New Roman Regular" w:cs="Times New Roman Regular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 Regular" w:eastAsia="方正仿宋_GB2312" w:hAnsi="Times New Roman Regular" w:cs="Times New Roman Regular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 Regular" w:eastAsia="方正仿宋_GB2312" w:hAnsi="Times New Roman Regular" w:cs="Times New Roman Regular"/>
                <w:sz w:val="28"/>
                <w:szCs w:val="28"/>
                <w:u w:val="single"/>
              </w:rPr>
              <w:t xml:space="preserve"> </w:t>
            </w:r>
          </w:p>
        </w:tc>
      </w:tr>
      <w:tr w:rsidR="00EC1422">
        <w:trPr>
          <w:trHeight w:val="1103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1422" w:rsidRDefault="00253184">
            <w:pPr>
              <w:jc w:val="center"/>
              <w:rPr>
                <w:rFonts w:ascii="Times New Roman Regular" w:eastAsia="方正仿宋_GB2312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2312" w:hAnsi="Times New Roman Regular" w:cs="Times New Roman Regular" w:hint="eastAsia"/>
                <w:color w:val="000000"/>
                <w:sz w:val="24"/>
              </w:rPr>
              <w:t>2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1422" w:rsidRDefault="00253184">
            <w:pPr>
              <w:jc w:val="center"/>
              <w:rPr>
                <w:rFonts w:ascii="Times New Roman Regular" w:eastAsia="方正仿宋_GB2312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方正仿宋_GB2312" w:hAnsi="Times New Roman Regular" w:cs="Times New Roman Regular" w:hint="eastAsia"/>
                <w:sz w:val="28"/>
                <w:szCs w:val="28"/>
              </w:rPr>
              <w:t>单宗评估项目价格</w:t>
            </w:r>
            <w:r>
              <w:rPr>
                <w:rStyle w:val="a6"/>
                <w:rFonts w:ascii="Times New Roman Regular" w:eastAsia="方正仿宋_GB2312" w:hAnsi="Times New Roman Regular" w:cs="Times New Roman Regular" w:hint="eastAsia"/>
                <w:sz w:val="28"/>
                <w:szCs w:val="28"/>
              </w:rPr>
              <w:footnoteReference w:id="2"/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1422" w:rsidRDefault="00253184">
            <w:pPr>
              <w:rPr>
                <w:rFonts w:ascii="Times New Roman Regular" w:eastAsia="方正仿宋_GB2312" w:hAnsi="Times New Roman Regular" w:cs="Times New Roman Regular"/>
              </w:rPr>
            </w:pPr>
            <w:r>
              <w:rPr>
                <w:rFonts w:ascii="Times New Roman Regular" w:eastAsia="方正仿宋_GB2312" w:hAnsi="Times New Roman Regular" w:cs="Times New Roman Regular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 Regular" w:eastAsia="方正仿宋_GB2312" w:hAnsi="Times New Roman Regular" w:cs="Times New Roman Regular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 Regular" w:eastAsia="方正仿宋_GB2312" w:hAnsi="Times New Roman Regular" w:cs="Times New Roman Regular"/>
                <w:sz w:val="28"/>
                <w:szCs w:val="28"/>
                <w:u w:val="single"/>
              </w:rPr>
              <w:t xml:space="preserve">   </w:t>
            </w:r>
          </w:p>
        </w:tc>
      </w:tr>
    </w:tbl>
    <w:p w:rsidR="00EC1422" w:rsidRDefault="00253184">
      <w:pPr>
        <w:spacing w:line="576" w:lineRule="exact"/>
        <w:ind w:firstLineChars="200" w:firstLine="640"/>
        <w:rPr>
          <w:rFonts w:ascii="Times New Roman Regular" w:eastAsia="方正仿宋_GBK" w:hAnsi="Times New Roman Regular" w:cs="Times New Roman Regular"/>
          <w:color w:val="000000"/>
          <w:sz w:val="32"/>
          <w:szCs w:val="30"/>
        </w:rPr>
      </w:pPr>
      <w:r>
        <w:rPr>
          <w:rFonts w:ascii="Times New Roman Regular" w:eastAsia="方正仿宋_GBK" w:hAnsi="Times New Roman Regular" w:cs="Times New Roman Regular" w:hint="eastAsia"/>
          <w:color w:val="000000"/>
          <w:sz w:val="32"/>
          <w:szCs w:val="30"/>
        </w:rPr>
        <w:t>注：</w:t>
      </w:r>
      <w:r>
        <w:rPr>
          <w:rFonts w:ascii="Times New Roman Regular" w:eastAsia="方正仿宋_GBK" w:hAnsi="Times New Roman Regular" w:cs="Times New Roman Regular" w:hint="eastAsia"/>
          <w:color w:val="000000"/>
          <w:sz w:val="32"/>
          <w:szCs w:val="30"/>
        </w:rPr>
        <w:t>1.</w:t>
      </w:r>
      <w:r>
        <w:rPr>
          <w:rFonts w:ascii="Times New Roman Regular" w:eastAsia="方正仿宋_GBK" w:hAnsi="Times New Roman Regular" w:cs="Times New Roman Regular" w:hint="eastAsia"/>
          <w:color w:val="000000"/>
          <w:sz w:val="32"/>
          <w:szCs w:val="30"/>
        </w:rPr>
        <w:t>供应商两项报价内容下浮比例（</w:t>
      </w:r>
      <w:r>
        <w:rPr>
          <w:rFonts w:ascii="Times New Roman Regular" w:eastAsia="方正仿宋_GBK" w:hAnsi="Times New Roman Regular" w:cs="Times New Roman Regular" w:hint="eastAsia"/>
          <w:color w:val="000000"/>
          <w:sz w:val="32"/>
          <w:szCs w:val="30"/>
        </w:rPr>
        <w:t>%</w:t>
      </w:r>
      <w:r>
        <w:rPr>
          <w:rFonts w:ascii="Times New Roman Regular" w:eastAsia="方正仿宋_GBK" w:hAnsi="Times New Roman Regular" w:cs="Times New Roman Regular" w:hint="eastAsia"/>
          <w:color w:val="000000"/>
          <w:sz w:val="32"/>
          <w:szCs w:val="30"/>
        </w:rPr>
        <w:t>）均为最低，则视为本项目的中选供应商。</w:t>
      </w:r>
    </w:p>
    <w:p w:rsidR="00EC1422" w:rsidRDefault="00253184">
      <w:pPr>
        <w:spacing w:line="576" w:lineRule="exact"/>
        <w:ind w:firstLineChars="200" w:firstLine="640"/>
        <w:rPr>
          <w:rFonts w:ascii="Times New Roman Regular" w:eastAsia="方正仿宋_GBK" w:hAnsi="Times New Roman Regular" w:cs="Times New Roman Regular"/>
          <w:color w:val="000000"/>
          <w:sz w:val="32"/>
          <w:szCs w:val="30"/>
        </w:rPr>
      </w:pPr>
      <w:r>
        <w:rPr>
          <w:rFonts w:ascii="Times New Roman Regular" w:eastAsia="方正仿宋_GBK" w:hAnsi="Times New Roman Regular" w:cs="Times New Roman Regular" w:hint="eastAsia"/>
          <w:color w:val="000000"/>
          <w:sz w:val="32"/>
          <w:szCs w:val="30"/>
        </w:rPr>
        <w:t>2.</w:t>
      </w:r>
      <w:r>
        <w:rPr>
          <w:rFonts w:ascii="Times New Roman Regular" w:eastAsia="方正仿宋_GBK" w:hAnsi="Times New Roman Regular" w:cs="Times New Roman Regular"/>
          <w:color w:val="000000"/>
          <w:sz w:val="32"/>
          <w:szCs w:val="30"/>
        </w:rPr>
        <w:t>本</w:t>
      </w:r>
      <w:r>
        <w:rPr>
          <w:rFonts w:ascii="Times New Roman Regular" w:eastAsia="方正仿宋_GBK" w:hAnsi="Times New Roman Regular" w:cs="Times New Roman Regular" w:hint="eastAsia"/>
          <w:color w:val="000000"/>
          <w:sz w:val="32"/>
          <w:szCs w:val="30"/>
        </w:rPr>
        <w:t>项目</w:t>
      </w:r>
      <w:r>
        <w:rPr>
          <w:rFonts w:ascii="Times New Roman Regular" w:eastAsia="方正仿宋_GBK" w:hAnsi="Times New Roman Regular" w:cs="Times New Roman Regular"/>
          <w:color w:val="000000"/>
          <w:sz w:val="32"/>
          <w:szCs w:val="30"/>
        </w:rPr>
        <w:t>服务费用总价上限为</w:t>
      </w:r>
      <w:r>
        <w:rPr>
          <w:rFonts w:ascii="Times New Roman Regular" w:eastAsia="方正仿宋_GBK" w:hAnsi="Times New Roman Regular" w:cs="Times New Roman Regular"/>
          <w:color w:val="000000"/>
          <w:sz w:val="32"/>
          <w:szCs w:val="30"/>
        </w:rPr>
        <w:t>4.9</w:t>
      </w:r>
      <w:r>
        <w:rPr>
          <w:rFonts w:ascii="Times New Roman Regular" w:eastAsia="方正仿宋_GBK" w:hAnsi="Times New Roman Regular" w:cs="Times New Roman Regular"/>
          <w:color w:val="000000"/>
          <w:sz w:val="32"/>
          <w:szCs w:val="30"/>
        </w:rPr>
        <w:t>万元。自合同签订之日起，按实际服务量据实结算，累计结算金额达到</w:t>
      </w:r>
      <w:r>
        <w:rPr>
          <w:rFonts w:ascii="Times New Roman Regular" w:eastAsia="方正仿宋_GBK" w:hAnsi="Times New Roman Regular" w:cs="Times New Roman Regular"/>
          <w:color w:val="000000"/>
          <w:sz w:val="32"/>
          <w:szCs w:val="30"/>
        </w:rPr>
        <w:t>4.9</w:t>
      </w:r>
      <w:r>
        <w:rPr>
          <w:rFonts w:ascii="Times New Roman Regular" w:eastAsia="方正仿宋_GBK" w:hAnsi="Times New Roman Regular" w:cs="Times New Roman Regular"/>
          <w:color w:val="000000"/>
          <w:sz w:val="32"/>
          <w:szCs w:val="30"/>
        </w:rPr>
        <w:t>万元时，</w:t>
      </w:r>
      <w:r>
        <w:rPr>
          <w:rFonts w:ascii="Times New Roman Regular" w:eastAsia="方正仿宋_GBK" w:hAnsi="Times New Roman Regular" w:cs="Times New Roman Regular" w:hint="eastAsia"/>
          <w:color w:val="000000"/>
          <w:sz w:val="32"/>
          <w:szCs w:val="30"/>
        </w:rPr>
        <w:t>服务</w:t>
      </w:r>
      <w:r>
        <w:rPr>
          <w:rFonts w:ascii="Times New Roman Regular" w:eastAsia="方正仿宋_GBK" w:hAnsi="Times New Roman Regular" w:cs="Times New Roman Regular"/>
          <w:color w:val="000000"/>
          <w:sz w:val="32"/>
          <w:szCs w:val="30"/>
        </w:rPr>
        <w:t>即终止。</w:t>
      </w:r>
    </w:p>
    <w:p w:rsidR="00EC1422" w:rsidRDefault="00253184">
      <w:pPr>
        <w:spacing w:line="576" w:lineRule="exact"/>
        <w:ind w:firstLineChars="200" w:firstLine="640"/>
        <w:rPr>
          <w:rFonts w:ascii="Times New Roman Regular" w:eastAsia="方正仿宋_GBK" w:hAnsi="Times New Roman Regular" w:cs="Times New Roman Regular"/>
          <w:color w:val="000000"/>
          <w:sz w:val="32"/>
          <w:szCs w:val="30"/>
        </w:rPr>
      </w:pPr>
      <w:r>
        <w:rPr>
          <w:rFonts w:ascii="Times New Roman Regular" w:eastAsia="方正仿宋_GBK" w:hAnsi="Times New Roman Regular" w:cs="Times New Roman Regular" w:hint="eastAsia"/>
          <w:color w:val="000000"/>
          <w:sz w:val="32"/>
          <w:szCs w:val="30"/>
        </w:rPr>
        <w:t>3.</w:t>
      </w:r>
      <w:r>
        <w:rPr>
          <w:rFonts w:ascii="Times New Roman Regular" w:eastAsia="方正仿宋_GBK" w:hAnsi="Times New Roman Regular" w:cs="Times New Roman Regular" w:hint="eastAsia"/>
          <w:color w:val="000000"/>
          <w:sz w:val="32"/>
          <w:szCs w:val="30"/>
        </w:rPr>
        <w:t>若单次委托评估面积在</w:t>
      </w:r>
      <w:r>
        <w:rPr>
          <w:rFonts w:ascii="Times New Roman Regular" w:eastAsia="方正仿宋_GBK" w:hAnsi="Times New Roman Regular" w:cs="Times New Roman Regular" w:hint="eastAsia"/>
          <w:color w:val="000000"/>
          <w:sz w:val="32"/>
          <w:szCs w:val="30"/>
        </w:rPr>
        <w:t>100</w:t>
      </w:r>
      <w:r>
        <w:rPr>
          <w:rFonts w:ascii="Times New Roman Regular" w:eastAsia="方正仿宋_GBK" w:hAnsi="Times New Roman Regular" w:cs="Times New Roman Regular" w:hint="eastAsia"/>
          <w:color w:val="000000"/>
          <w:sz w:val="32"/>
          <w:szCs w:val="30"/>
        </w:rPr>
        <w:t>平方米以下（含</w:t>
      </w:r>
      <w:r>
        <w:rPr>
          <w:rFonts w:ascii="Times New Roman Regular" w:eastAsia="方正仿宋_GBK" w:hAnsi="Times New Roman Regular" w:cs="Times New Roman Regular" w:hint="eastAsia"/>
          <w:color w:val="000000"/>
          <w:sz w:val="32"/>
          <w:szCs w:val="30"/>
        </w:rPr>
        <w:t>100</w:t>
      </w:r>
      <w:r>
        <w:rPr>
          <w:rFonts w:ascii="Times New Roman Regular" w:eastAsia="方正仿宋_GBK" w:hAnsi="Times New Roman Regular" w:cs="Times New Roman Regular" w:hint="eastAsia"/>
          <w:color w:val="000000"/>
          <w:sz w:val="32"/>
          <w:szCs w:val="30"/>
        </w:rPr>
        <w:t>平方米），则采用单宗评估项目价格计费；若单次委托评估面</w:t>
      </w:r>
      <w:r>
        <w:rPr>
          <w:rFonts w:ascii="Times New Roman Regular" w:eastAsia="方正仿宋_GBK" w:hAnsi="Times New Roman Regular" w:cs="Times New Roman Regular" w:hint="eastAsia"/>
          <w:color w:val="000000"/>
          <w:sz w:val="32"/>
          <w:szCs w:val="30"/>
        </w:rPr>
        <w:lastRenderedPageBreak/>
        <w:t>积在</w:t>
      </w:r>
      <w:r>
        <w:rPr>
          <w:rFonts w:ascii="Times New Roman Regular" w:eastAsia="方正仿宋_GBK" w:hAnsi="Times New Roman Regular" w:cs="Times New Roman Regular" w:hint="eastAsia"/>
          <w:color w:val="000000"/>
          <w:sz w:val="32"/>
          <w:szCs w:val="30"/>
        </w:rPr>
        <w:t>100</w:t>
      </w:r>
      <w:r>
        <w:rPr>
          <w:rFonts w:ascii="Times New Roman Regular" w:eastAsia="方正仿宋_GBK" w:hAnsi="Times New Roman Regular" w:cs="Times New Roman Regular" w:hint="eastAsia"/>
          <w:color w:val="000000"/>
          <w:sz w:val="32"/>
          <w:szCs w:val="30"/>
        </w:rPr>
        <w:t>平方米以上，则采用单位建筑面积评估价格计费</w:t>
      </w:r>
    </w:p>
    <w:p w:rsidR="00EC1422" w:rsidRDefault="00EC1422"/>
    <w:sectPr w:rsidR="00EC1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184" w:rsidRDefault="00253184">
      <w:r>
        <w:separator/>
      </w:r>
    </w:p>
  </w:endnote>
  <w:endnote w:type="continuationSeparator" w:id="0">
    <w:p w:rsidR="00253184" w:rsidRDefault="0025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184" w:rsidRDefault="00253184">
      <w:r>
        <w:separator/>
      </w:r>
    </w:p>
  </w:footnote>
  <w:footnote w:type="continuationSeparator" w:id="0">
    <w:p w:rsidR="00253184" w:rsidRDefault="00253184">
      <w:r>
        <w:continuationSeparator/>
      </w:r>
    </w:p>
  </w:footnote>
  <w:footnote w:id="1">
    <w:p w:rsidR="00EC1422" w:rsidRDefault="00253184">
      <w:pPr>
        <w:spacing w:line="576" w:lineRule="exact"/>
        <w:rPr>
          <w:rFonts w:ascii="Times New Roman Regular" w:eastAsia="方正仿宋_GBK" w:hAnsi="Times New Roman Regular" w:cs="Times New Roman Regular"/>
          <w:color w:val="000000"/>
          <w:sz w:val="28"/>
          <w:szCs w:val="28"/>
        </w:rPr>
      </w:pPr>
      <w:r>
        <w:rPr>
          <w:rStyle w:val="a6"/>
          <w:sz w:val="20"/>
          <w:szCs w:val="22"/>
        </w:rPr>
        <w:footnoteRef/>
      </w:r>
      <w:r>
        <w:rPr>
          <w:sz w:val="20"/>
          <w:szCs w:val="22"/>
        </w:rPr>
        <w:t xml:space="preserve"> </w:t>
      </w:r>
      <w:r>
        <w:rPr>
          <w:rFonts w:ascii="Times New Roman Regular" w:eastAsia="方正仿宋_GBK" w:hAnsi="Times New Roman Regular" w:cs="Times New Roman Regular" w:hint="eastAsia"/>
          <w:color w:val="000000"/>
          <w:sz w:val="22"/>
          <w:szCs w:val="22"/>
        </w:rPr>
        <w:t>单位建筑面积评估价格</w:t>
      </w:r>
      <w:r>
        <w:rPr>
          <w:rFonts w:ascii="Times New Roman Regular" w:eastAsia="方正仿宋_GBK" w:hAnsi="Times New Roman Regular" w:cs="Times New Roman Regular" w:hint="eastAsia"/>
          <w:color w:val="000000"/>
          <w:sz w:val="22"/>
          <w:szCs w:val="22"/>
        </w:rPr>
        <w:t>按</w:t>
      </w:r>
      <w:r>
        <w:rPr>
          <w:rFonts w:ascii="Times New Roman Regular" w:eastAsia="方正仿宋_GBK" w:hAnsi="Times New Roman Regular" w:cs="Times New Roman Regular" w:hint="eastAsia"/>
          <w:color w:val="000000"/>
          <w:sz w:val="22"/>
          <w:szCs w:val="22"/>
          <w:u w:val="single"/>
        </w:rPr>
        <w:t xml:space="preserve">  20  </w:t>
      </w:r>
      <w:r>
        <w:rPr>
          <w:rFonts w:ascii="Times New Roman Regular" w:eastAsia="方正仿宋_GBK" w:hAnsi="Times New Roman Regular" w:cs="Times New Roman Regular" w:hint="eastAsia"/>
          <w:color w:val="000000"/>
          <w:sz w:val="22"/>
          <w:szCs w:val="22"/>
        </w:rPr>
        <w:t>元</w:t>
      </w:r>
      <w:r>
        <w:rPr>
          <w:rFonts w:ascii="Times New Roman Regular" w:eastAsia="方正仿宋_GBK" w:hAnsi="Times New Roman Regular" w:cs="Times New Roman Regular" w:hint="eastAsia"/>
          <w:color w:val="000000"/>
          <w:sz w:val="22"/>
          <w:szCs w:val="22"/>
        </w:rPr>
        <w:t>/</w:t>
      </w:r>
      <w:r>
        <w:rPr>
          <w:rFonts w:ascii="Times New Roman Regular" w:eastAsia="方正仿宋_GBK" w:hAnsi="Times New Roman Regular" w:cs="Times New Roman Regular" w:hint="eastAsia"/>
          <w:color w:val="000000"/>
          <w:sz w:val="22"/>
          <w:szCs w:val="22"/>
        </w:rPr>
        <w:t>平方米作为最高限价，</w:t>
      </w:r>
      <w:r>
        <w:rPr>
          <w:rFonts w:ascii="Times New Roman Regular" w:eastAsia="方正仿宋_GBK" w:hAnsi="Times New Roman Regular" w:cs="Times New Roman Regular" w:hint="eastAsia"/>
          <w:color w:val="000000"/>
          <w:sz w:val="22"/>
          <w:szCs w:val="22"/>
        </w:rPr>
        <w:t>在此基础上下浮</w:t>
      </w:r>
      <w:r>
        <w:rPr>
          <w:rFonts w:ascii="Times New Roman Regular" w:eastAsia="方正仿宋_GBK" w:hAnsi="Times New Roman Regular" w:cs="Times New Roman Regular" w:hint="eastAsia"/>
          <w:color w:val="000000"/>
          <w:sz w:val="22"/>
          <w:szCs w:val="22"/>
        </w:rPr>
        <w:t>。</w:t>
      </w:r>
    </w:p>
    <w:p w:rsidR="00EC1422" w:rsidRDefault="00EC1422">
      <w:pPr>
        <w:pStyle w:val="a5"/>
      </w:pPr>
    </w:p>
  </w:footnote>
  <w:footnote w:id="2">
    <w:p w:rsidR="00EC1422" w:rsidRDefault="00253184">
      <w:pPr>
        <w:pStyle w:val="a5"/>
      </w:pPr>
      <w:r>
        <w:rPr>
          <w:rStyle w:val="a6"/>
        </w:rPr>
        <w:footnoteRef/>
      </w:r>
      <w:r>
        <w:t xml:space="preserve"> </w:t>
      </w:r>
      <w:r>
        <w:rPr>
          <w:rFonts w:ascii="Times New Roman Regular" w:eastAsia="方正仿宋_GBK" w:hAnsi="Times New Roman Regular" w:cs="Times New Roman Regular" w:hint="eastAsia"/>
          <w:color w:val="000000"/>
          <w:sz w:val="22"/>
          <w:szCs w:val="22"/>
        </w:rPr>
        <w:t>单宗评估项目评估费用最低收费</w:t>
      </w:r>
      <w:r>
        <w:rPr>
          <w:rFonts w:ascii="Times New Roman Regular" w:eastAsia="方正仿宋_GBK" w:hAnsi="Times New Roman Regular" w:cs="Times New Roman Regular" w:hint="eastAsia"/>
          <w:color w:val="000000"/>
          <w:sz w:val="22"/>
          <w:szCs w:val="22"/>
          <w:u w:val="single"/>
        </w:rPr>
        <w:t xml:space="preserve">  2000 </w:t>
      </w:r>
      <w:r>
        <w:rPr>
          <w:rFonts w:ascii="Times New Roman Regular" w:eastAsia="方正仿宋_GBK" w:hAnsi="Times New Roman Regular" w:cs="Times New Roman Regular" w:hint="eastAsia"/>
          <w:color w:val="000000"/>
          <w:sz w:val="22"/>
          <w:szCs w:val="22"/>
        </w:rPr>
        <w:t>元</w:t>
      </w:r>
      <w:r>
        <w:rPr>
          <w:rFonts w:ascii="Times New Roman Regular" w:eastAsia="方正仿宋_GBK" w:hAnsi="Times New Roman Regular" w:cs="Times New Roman Regular" w:hint="eastAsia"/>
          <w:color w:val="000000"/>
          <w:sz w:val="22"/>
          <w:szCs w:val="22"/>
        </w:rPr>
        <w:t>/</w:t>
      </w:r>
      <w:r>
        <w:rPr>
          <w:rFonts w:ascii="Times New Roman Regular" w:eastAsia="方正仿宋_GBK" w:hAnsi="Times New Roman Regular" w:cs="Times New Roman Regular" w:hint="eastAsia"/>
          <w:color w:val="000000"/>
          <w:sz w:val="22"/>
          <w:szCs w:val="22"/>
        </w:rPr>
        <w:t>宗，在此基础上下浮。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B90C28"/>
    <w:rsid w:val="00253184"/>
    <w:rsid w:val="008E7D8C"/>
    <w:rsid w:val="00EC1422"/>
    <w:rsid w:val="64B9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B42F2EB-116A-4EA1-A191-0B75B67C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pPr>
      <w:spacing w:after="120"/>
    </w:pPr>
    <w:rPr>
      <w:rFonts w:ascii="Times New Roman" w:hAnsi="Times New Roman"/>
      <w:b/>
    </w:rPr>
  </w:style>
  <w:style w:type="paragraph" w:styleId="a4">
    <w:name w:val="Body Text First Indent"/>
    <w:basedOn w:val="a3"/>
    <w:next w:val="21CharChar"/>
    <w:qFormat/>
    <w:pPr>
      <w:ind w:firstLineChars="100" w:firstLine="420"/>
    </w:pPr>
  </w:style>
  <w:style w:type="paragraph" w:customStyle="1" w:styleId="21CharChar">
    <w:name w:val="样式 正文首行缩进 + 首行缩进:  2 字符1 Char Char"/>
    <w:qFormat/>
    <w:pPr>
      <w:widowControl w:val="0"/>
      <w:adjustRightInd w:val="0"/>
      <w:spacing w:line="400" w:lineRule="exact"/>
      <w:ind w:firstLineChars="200" w:firstLine="480"/>
      <w:jc w:val="both"/>
      <w:textAlignment w:val="baseline"/>
    </w:pPr>
    <w:rPr>
      <w:rFonts w:ascii="宋体" w:eastAsia="仿宋_GB2312" w:hAnsi="宋体" w:cs="宋体"/>
      <w:color w:val="000000"/>
      <w:kern w:val="2"/>
      <w:sz w:val="26"/>
    </w:rPr>
  </w:style>
  <w:style w:type="paragraph" w:styleId="a5">
    <w:name w:val="footnote text"/>
    <w:basedOn w:val="a"/>
    <w:qFormat/>
    <w:pPr>
      <w:snapToGrid w:val="0"/>
      <w:jc w:val="left"/>
    </w:pPr>
    <w:rPr>
      <w:sz w:val="18"/>
    </w:rPr>
  </w:style>
  <w:style w:type="character" w:styleId="a6">
    <w:name w:val="footnote reference"/>
    <w:basedOn w:val="a0"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suogelaqi</dc:creator>
  <cp:lastModifiedBy>john</cp:lastModifiedBy>
  <cp:revision>2</cp:revision>
  <dcterms:created xsi:type="dcterms:W3CDTF">2026-04-14T07:12:00Z</dcterms:created>
  <dcterms:modified xsi:type="dcterms:W3CDTF">2026-04-14T07:12:00Z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9E974B26D5214737A9E1B771FC9596DE_11</vt:lpwstr>
  </property>
  <property fmtid="{D5CDD505-2E9C-101B-9397-08002B2CF9AE}" pid="4" name="KSOTemplateDocerSaveRecord">
    <vt:lpwstr>eyJoZGlkIjoiNGJkZTU1NmVmNjg2MzJiNGU0YjRhNjE4YWFkMzBlZWEiLCJ1c2VySWQiOiIyMTIyMDMzNzIifQ==</vt:lpwstr>
  </property>
</Properties>
</file>