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3146">
      <w:pPr>
        <w:numPr>
          <w:ilvl w:val="0"/>
          <w:numId w:val="0"/>
        </w:numPr>
        <w:wordWrap w:val="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07B08E0E">
      <w:pPr>
        <w:numPr>
          <w:ilvl w:val="0"/>
          <w:numId w:val="0"/>
        </w:numPr>
        <w:wordWrap w:val="0"/>
        <w:jc w:val="cente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项目需求</w:t>
      </w:r>
    </w:p>
    <w:p w14:paraId="764EA837">
      <w:pPr>
        <w:pStyle w:val="6"/>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360" w:lineRule="auto"/>
        <w:ind w:firstLine="0" w:firstLineChars="0"/>
        <w:textAlignment w:val="auto"/>
        <w:rPr>
          <w:rFonts w:ascii="仿宋" w:hAnsi="仿宋" w:eastAsia="仿宋" w:cs="仿宋"/>
          <w:b w:val="0"/>
          <w:bCs/>
          <w:sz w:val="24"/>
          <w:szCs w:val="24"/>
        </w:rPr>
      </w:pPr>
      <w:r>
        <w:rPr>
          <w:rFonts w:hint="eastAsia" w:ascii="仿宋" w:hAnsi="仿宋" w:eastAsia="仿宋" w:cs="仿宋"/>
          <w:b w:val="0"/>
          <w:bCs/>
          <w:sz w:val="24"/>
          <w:szCs w:val="24"/>
        </w:rPr>
        <w:t>一、项目概述</w:t>
      </w:r>
    </w:p>
    <w:p w14:paraId="522C9041">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bookmarkStart w:id="0" w:name="_Toc19585"/>
      <w:bookmarkEnd w:id="0"/>
      <w:r>
        <w:rPr>
          <w:rFonts w:hint="eastAsia" w:ascii="仿宋" w:hAnsi="仿宋" w:eastAsia="仿宋" w:cs="仿宋"/>
          <w:b w:val="0"/>
          <w:bCs/>
          <w:kern w:val="2"/>
          <w:sz w:val="24"/>
          <w:szCs w:val="24"/>
          <w:lang w:val="en-US" w:eastAsia="zh-CN" w:bidi="ar-SA"/>
        </w:rPr>
        <w:t>为有效应对突发事件，切实保障观众、商家的权益，拟采购保险服务商开展锦里文化旅游街区保险服务业务。本项目保险服务主要包含公众责任险和财产险。</w:t>
      </w:r>
    </w:p>
    <w:p w14:paraId="1B7E7A8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本项目涉及成都武侯祠大街231号附1号锦里文化旅游街区全域及附属环境（公共基础配套设施、园林景观、湖泊水系、便民服务设施设备等）。供应商可自行踏勘现场。</w:t>
      </w:r>
    </w:p>
    <w:p w14:paraId="45B878E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本项目最高限价：4.98万元</w:t>
      </w:r>
    </w:p>
    <w:p w14:paraId="3C0F9706">
      <w:pPr>
        <w:pStyle w:val="7"/>
        <w:keepNext w:val="0"/>
        <w:keepLines w:val="0"/>
        <w:pageBreakBefore w:val="0"/>
        <w:kinsoku/>
        <w:wordWrap/>
        <w:overflowPunct/>
        <w:topLinePunct w:val="0"/>
        <w:autoSpaceDE/>
        <w:autoSpaceDN/>
        <w:bidi w:val="0"/>
        <w:adjustRightInd/>
        <w:spacing w:line="360" w:lineRule="auto"/>
        <w:jc w:val="both"/>
        <w:textAlignment w:val="auto"/>
        <w:rPr>
          <w:rFonts w:hint="default" w:ascii="仿宋" w:hAnsi="仿宋" w:eastAsia="仿宋" w:cs="仿宋"/>
          <w:b w:val="0"/>
          <w:bCs/>
          <w:sz w:val="24"/>
          <w:szCs w:val="24"/>
          <w:lang w:eastAsia="zh-CN"/>
        </w:rPr>
      </w:pPr>
      <w:r>
        <w:rPr>
          <w:rFonts w:ascii="仿宋" w:hAnsi="仿宋" w:eastAsia="仿宋" w:cs="仿宋"/>
          <w:b w:val="0"/>
          <w:bCs/>
          <w:sz w:val="24"/>
          <w:szCs w:val="24"/>
          <w:lang w:eastAsia="zh-CN"/>
        </w:rPr>
        <w:t>二、技术服务要求</w:t>
      </w:r>
    </w:p>
    <w:p w14:paraId="7A896AB3">
      <w:pPr>
        <w:pStyle w:val="2"/>
        <w:keepNext w:val="0"/>
        <w:keepLines w:val="0"/>
        <w:pageBreakBefore w:val="0"/>
        <w:tabs>
          <w:tab w:val="left" w:pos="1500"/>
        </w:tabs>
        <w:kinsoku/>
        <w:wordWrap/>
        <w:overflowPunct/>
        <w:topLinePunct w:val="0"/>
        <w:autoSpaceDE/>
        <w:autoSpaceDN/>
        <w:bidi w:val="0"/>
        <w:adjustRightInd/>
        <w:spacing w:line="360" w:lineRule="auto"/>
        <w:ind w:firstLine="240" w:firstLineChars="1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1.项目需求</w:t>
      </w:r>
    </w:p>
    <w:p w14:paraId="04FA1E08">
      <w:pPr>
        <w:pStyle w:val="2"/>
        <w:keepNext w:val="0"/>
        <w:keepLines w:val="0"/>
        <w:pageBreakBefore w:val="0"/>
        <w:tabs>
          <w:tab w:val="left" w:pos="1500"/>
        </w:tabs>
        <w:kinsoku/>
        <w:wordWrap/>
        <w:overflowPunct/>
        <w:topLinePunct w:val="0"/>
        <w:autoSpaceDE/>
        <w:autoSpaceDN/>
        <w:bidi w:val="0"/>
        <w:adjustRightInd/>
        <w:spacing w:line="360" w:lineRule="auto"/>
        <w:ind w:firstLine="240" w:firstLineChars="1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（1）公众责任险</w:t>
      </w:r>
    </w:p>
    <w:p w14:paraId="08EAB9F4">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保险区域范围：成都武侯祠大街231号附1号锦里文化旅游街区全域及附属环境（公共基础配套设施、园林景观、湖泊水系、便民服务设施设备等）。场地面积约3.1万平方米，建筑面积1.5万平方米，年游客量约1200万人。</w:t>
      </w:r>
    </w:p>
    <w:p w14:paraId="0DE0E96D">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2）赔付要求：</w:t>
      </w:r>
      <w:r>
        <w:rPr>
          <w:rFonts w:hint="default" w:ascii="仿宋" w:hAnsi="仿宋" w:eastAsia="仿宋" w:cs="仿宋"/>
          <w:b w:val="0"/>
          <w:bCs/>
          <w:kern w:val="2"/>
          <w:sz w:val="24"/>
          <w:szCs w:val="24"/>
          <w:lang w:val="en-US" w:eastAsia="zh-CN" w:bidi="ar-SA"/>
        </w:rPr>
        <w:t>累计赔偿限额为2000万元</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每次事故赔偿限额为2000万元</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其中财产损失赔偿限额为1000万元，人身伤亡赔偿限额为1000万元</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每次事故每人死亡、伤残赔偿限额100</w:t>
      </w:r>
      <w:r>
        <w:rPr>
          <w:rFonts w:hint="eastAsia" w:ascii="仿宋" w:hAnsi="仿宋" w:eastAsia="仿宋" w:cs="仿宋"/>
          <w:b w:val="0"/>
          <w:bCs/>
          <w:kern w:val="2"/>
          <w:sz w:val="24"/>
          <w:szCs w:val="24"/>
          <w:lang w:val="en-US" w:eastAsia="zh-CN" w:bidi="ar-SA"/>
        </w:rPr>
        <w:t>万元；</w:t>
      </w:r>
      <w:r>
        <w:rPr>
          <w:rFonts w:hint="default" w:ascii="仿宋" w:hAnsi="仿宋" w:eastAsia="仿宋" w:cs="仿宋"/>
          <w:b w:val="0"/>
          <w:bCs/>
          <w:kern w:val="2"/>
          <w:sz w:val="24"/>
          <w:szCs w:val="24"/>
          <w:lang w:val="en-US" w:eastAsia="zh-CN" w:bidi="ar-SA"/>
        </w:rPr>
        <w:t>每次事故每人医疗费用限额</w:t>
      </w:r>
      <w:r>
        <w:rPr>
          <w:rFonts w:hint="eastAsia" w:ascii="仿宋" w:hAnsi="仿宋" w:eastAsia="仿宋" w:cs="仿宋"/>
          <w:b w:val="0"/>
          <w:bCs/>
          <w:kern w:val="2"/>
          <w:sz w:val="24"/>
          <w:szCs w:val="24"/>
          <w:lang w:val="en-US" w:eastAsia="zh-CN" w:bidi="ar-SA"/>
        </w:rPr>
        <w:t>50万元；</w:t>
      </w:r>
      <w:r>
        <w:rPr>
          <w:rFonts w:hint="default" w:ascii="仿宋" w:hAnsi="仿宋" w:eastAsia="仿宋" w:cs="仿宋"/>
          <w:b w:val="0"/>
          <w:bCs/>
          <w:kern w:val="2"/>
          <w:sz w:val="24"/>
          <w:szCs w:val="24"/>
          <w:lang w:val="en-US" w:eastAsia="zh-CN" w:bidi="ar-SA"/>
        </w:rPr>
        <w:t>全年无过失医疗费用、急救费用限额合计</w:t>
      </w:r>
      <w:r>
        <w:rPr>
          <w:rFonts w:hint="eastAsia" w:ascii="仿宋" w:hAnsi="仿宋" w:eastAsia="仿宋" w:cs="仿宋"/>
          <w:b w:val="0"/>
          <w:bCs/>
          <w:kern w:val="2"/>
          <w:sz w:val="24"/>
          <w:szCs w:val="24"/>
          <w:lang w:val="en-US" w:eastAsia="zh-CN" w:bidi="ar-SA"/>
        </w:rPr>
        <w:t>10万元；</w:t>
      </w:r>
      <w:r>
        <w:rPr>
          <w:rFonts w:hint="default" w:ascii="仿宋" w:hAnsi="仿宋" w:eastAsia="仿宋" w:cs="仿宋"/>
          <w:b w:val="0"/>
          <w:bCs/>
          <w:kern w:val="2"/>
          <w:sz w:val="24"/>
          <w:szCs w:val="24"/>
          <w:lang w:val="en-US" w:eastAsia="zh-CN" w:bidi="ar-SA"/>
        </w:rPr>
        <w:t>法律费用10</w:t>
      </w:r>
      <w:r>
        <w:rPr>
          <w:rFonts w:hint="eastAsia" w:ascii="仿宋" w:hAnsi="仿宋" w:eastAsia="仿宋" w:cs="仿宋"/>
          <w:b w:val="0"/>
          <w:bCs/>
          <w:kern w:val="2"/>
          <w:sz w:val="24"/>
          <w:szCs w:val="24"/>
          <w:lang w:val="en-US" w:eastAsia="zh-CN" w:bidi="ar-SA"/>
        </w:rPr>
        <w:t>万元</w:t>
      </w:r>
      <w:r>
        <w:rPr>
          <w:rFonts w:hint="default" w:ascii="仿宋" w:hAnsi="仿宋" w:eastAsia="仿宋" w:cs="仿宋"/>
          <w:b w:val="0"/>
          <w:bCs/>
          <w:kern w:val="2"/>
          <w:sz w:val="24"/>
          <w:szCs w:val="24"/>
          <w:lang w:val="en-US" w:eastAsia="zh-CN" w:bidi="ar-SA"/>
        </w:rPr>
        <w:t>。每次事故每人医疗费用无绝对免赔金额</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每次事故财产损失免赔</w:t>
      </w:r>
      <w:r>
        <w:rPr>
          <w:rFonts w:hint="eastAsia" w:ascii="仿宋" w:hAnsi="仿宋" w:eastAsia="仿宋" w:cs="仿宋"/>
          <w:b w:val="0"/>
          <w:bCs/>
          <w:kern w:val="2"/>
          <w:sz w:val="24"/>
          <w:szCs w:val="24"/>
          <w:lang w:val="en-US" w:eastAsia="zh-CN" w:bidi="ar-SA"/>
        </w:rPr>
        <w:t>50</w:t>
      </w:r>
      <w:r>
        <w:rPr>
          <w:rFonts w:hint="default" w:ascii="仿宋" w:hAnsi="仿宋" w:eastAsia="仿宋" w:cs="仿宋"/>
          <w:b w:val="0"/>
          <w:bCs/>
          <w:kern w:val="2"/>
          <w:sz w:val="24"/>
          <w:szCs w:val="24"/>
          <w:lang w:val="en-US" w:eastAsia="zh-CN" w:bidi="ar-SA"/>
        </w:rPr>
        <w:t>元。</w:t>
      </w:r>
    </w:p>
    <w:p w14:paraId="3D2A6D9B">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3）附加险条款包含但不限于：</w:t>
      </w:r>
    </w:p>
    <w:p w14:paraId="0695BED1">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①火灾、爆炸、烟熏及水损责任条款；</w:t>
      </w:r>
    </w:p>
    <w:p w14:paraId="5F889E0C">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②广告及装饰装置责任条款；</w:t>
      </w:r>
    </w:p>
    <w:p w14:paraId="25FB680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③建筑物改动责任保险条款；</w:t>
      </w:r>
    </w:p>
    <w:p w14:paraId="5D15A729">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④违反条件保险条款；</w:t>
      </w:r>
    </w:p>
    <w:p w14:paraId="46DF20D9">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⑤交叉责任保险条款；</w:t>
      </w:r>
    </w:p>
    <w:p w14:paraId="707110E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⑥错误和遗漏保险条款；</w:t>
      </w:r>
    </w:p>
    <w:p w14:paraId="3C7C416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⑦提供物品及服务责任保险条款；</w:t>
      </w:r>
    </w:p>
    <w:p w14:paraId="790DB08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⑧社交娱乐活动责任保险（2022版）条款；</w:t>
      </w:r>
    </w:p>
    <w:p w14:paraId="3682192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⑨有缺陷的卫生设施保险条款；</w:t>
      </w:r>
    </w:p>
    <w:p w14:paraId="7D64001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⑩预付赔款条款；</w:t>
      </w:r>
    </w:p>
    <w:p w14:paraId="35902761">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default" w:ascii="仿宋" w:hAnsi="仿宋" w:eastAsia="仿宋" w:cs="仿宋"/>
          <w:b w:val="0"/>
          <w:bCs/>
          <w:kern w:val="2"/>
          <w:sz w:val="24"/>
          <w:szCs w:val="24"/>
          <w:lang w:val="en-US" w:eastAsia="zh-CN" w:bidi="ar-SA"/>
        </w:rPr>
        <w:t>⑪施救责任</w:t>
      </w:r>
      <w:r>
        <w:rPr>
          <w:rFonts w:hint="eastAsia" w:ascii="仿宋" w:hAnsi="仿宋" w:eastAsia="仿宋" w:cs="仿宋"/>
          <w:b w:val="0"/>
          <w:bCs/>
          <w:kern w:val="2"/>
          <w:sz w:val="24"/>
          <w:szCs w:val="24"/>
          <w:lang w:val="en-US" w:eastAsia="zh-CN" w:bidi="ar-SA"/>
        </w:rPr>
        <w:t>条款；</w:t>
      </w:r>
    </w:p>
    <w:p w14:paraId="288DA2D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default" w:ascii="仿宋" w:hAnsi="仿宋" w:eastAsia="仿宋" w:cs="仿宋"/>
          <w:b w:val="0"/>
          <w:bCs/>
          <w:kern w:val="2"/>
          <w:sz w:val="24"/>
          <w:szCs w:val="24"/>
          <w:lang w:val="en-US" w:eastAsia="zh-CN" w:bidi="ar-SA"/>
        </w:rPr>
        <w:t>⑫急救费用责任</w:t>
      </w:r>
      <w:r>
        <w:rPr>
          <w:rFonts w:hint="eastAsia" w:ascii="仿宋" w:hAnsi="仿宋" w:eastAsia="仿宋" w:cs="仿宋"/>
          <w:b w:val="0"/>
          <w:bCs/>
          <w:kern w:val="2"/>
          <w:sz w:val="24"/>
          <w:szCs w:val="24"/>
          <w:lang w:val="en-US" w:eastAsia="zh-CN" w:bidi="ar-SA"/>
        </w:rPr>
        <w:t>条款。</w:t>
      </w:r>
    </w:p>
    <w:p w14:paraId="610FB9A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（2）财产保险</w:t>
      </w:r>
    </w:p>
    <w:p w14:paraId="16543A7A">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一、二期仿古建筑群（价值约3200万元）、锦里游客中心及二楼办公区公共财产（房屋装修款3.86万元、办公用品拟入固资产约1万元）、原锦里公司移交我馆资产（评估账面残值为2.399万元）、锦里大门口博物馆自持“成都礼物”店文创货品（价值约60万元）、主要建筑维修及装修（价值约409.56万元）。</w:t>
      </w:r>
    </w:p>
    <w:p w14:paraId="216486EC">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lang w:val="en-US" w:eastAsia="zh-CN" w:bidi="ar-SA"/>
        </w:rPr>
        <w:t>2）赔付要求：财产总价值：3676.82万元，累计赔付限额3676.82万元，</w:t>
      </w:r>
      <w:r>
        <w:rPr>
          <w:rFonts w:hint="default" w:ascii="仿宋" w:hAnsi="仿宋" w:eastAsia="仿宋" w:cs="仿宋"/>
          <w:b w:val="0"/>
          <w:bCs/>
          <w:kern w:val="2"/>
          <w:sz w:val="24"/>
          <w:szCs w:val="24"/>
          <w:lang w:val="en-US" w:eastAsia="zh-CN" w:bidi="ar-SA"/>
        </w:rPr>
        <w:t>每次</w:t>
      </w:r>
      <w:r>
        <w:rPr>
          <w:rFonts w:hint="eastAsia" w:ascii="仿宋" w:hAnsi="仿宋" w:eastAsia="仿宋" w:cs="仿宋"/>
          <w:b w:val="0"/>
          <w:bCs/>
          <w:kern w:val="2"/>
          <w:sz w:val="24"/>
          <w:szCs w:val="24"/>
          <w:lang w:val="en-US" w:eastAsia="zh-CN" w:bidi="ar-SA"/>
        </w:rPr>
        <w:t>事故</w:t>
      </w:r>
      <w:r>
        <w:rPr>
          <w:rFonts w:hint="default" w:ascii="仿宋" w:hAnsi="仿宋" w:eastAsia="仿宋" w:cs="仿宋"/>
          <w:b w:val="0"/>
          <w:bCs/>
          <w:kern w:val="2"/>
          <w:sz w:val="24"/>
          <w:szCs w:val="24"/>
          <w:lang w:val="en-US" w:eastAsia="zh-CN" w:bidi="ar-SA"/>
        </w:rPr>
        <w:t>最高赔付限额</w:t>
      </w:r>
      <w:r>
        <w:rPr>
          <w:rFonts w:hint="eastAsia" w:ascii="仿宋" w:hAnsi="仿宋" w:eastAsia="仿宋" w:cs="仿宋"/>
          <w:b w:val="0"/>
          <w:bCs/>
          <w:kern w:val="2"/>
          <w:sz w:val="24"/>
          <w:szCs w:val="24"/>
          <w:lang w:val="en-US" w:eastAsia="zh-CN" w:bidi="ar-SA"/>
        </w:rPr>
        <w:t>2000</w:t>
      </w:r>
      <w:r>
        <w:rPr>
          <w:rFonts w:hint="default" w:ascii="仿宋" w:hAnsi="仿宋" w:eastAsia="仿宋" w:cs="仿宋"/>
          <w:b w:val="0"/>
          <w:bCs/>
          <w:kern w:val="2"/>
          <w:sz w:val="24"/>
          <w:szCs w:val="24"/>
          <w:lang w:val="en-US" w:eastAsia="zh-CN" w:bidi="ar-SA"/>
        </w:rPr>
        <w:t>万元</w:t>
      </w:r>
      <w:r>
        <w:rPr>
          <w:rFonts w:hint="eastAsia" w:ascii="仿宋" w:hAnsi="仿宋" w:eastAsia="仿宋" w:cs="仿宋"/>
          <w:b w:val="0"/>
          <w:bCs/>
          <w:kern w:val="2"/>
          <w:sz w:val="24"/>
          <w:szCs w:val="24"/>
          <w:lang w:val="en-US" w:eastAsia="zh-CN" w:bidi="ar-SA"/>
        </w:rPr>
        <w:t>，</w:t>
      </w:r>
      <w:r>
        <w:rPr>
          <w:rFonts w:hint="eastAsia" w:ascii="仿宋" w:hAnsi="仿宋" w:eastAsia="仿宋" w:cs="仿宋"/>
          <w:b w:val="0"/>
          <w:bCs/>
          <w:kern w:val="2"/>
          <w:sz w:val="24"/>
          <w:szCs w:val="24"/>
          <w:highlight w:val="none"/>
          <w:lang w:val="en-US" w:eastAsia="zh-CN" w:bidi="ar-SA"/>
        </w:rPr>
        <w:t>每次事故免赔50元。</w:t>
      </w:r>
    </w:p>
    <w:p w14:paraId="68092C46">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3）附加险条款包含但不限于：</w:t>
      </w:r>
    </w:p>
    <w:p w14:paraId="3B9555BB">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①地面突然下陷责任条款；</w:t>
      </w:r>
    </w:p>
    <w:p w14:paraId="4F3C5D1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②水箱水管爆裂、雷电、盗窃、抢劫、恶意破坏、自动喷淋系统水损、碰撞、飞行物体坠落责任条款；</w:t>
      </w:r>
    </w:p>
    <w:p w14:paraId="52D38BDA">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③玻璃破碎、建筑物外部附属设施（如广告牌、霓虹灯）、露天存放财产、计算机设备、贵重物品（珠宝、艺术品）责任条款；</w:t>
      </w:r>
    </w:p>
    <w:p w14:paraId="2CC3CA44">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④恐怖活动、临时保护措施、灭火费用责任条款。</w:t>
      </w:r>
    </w:p>
    <w:p w14:paraId="1D95FEE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2.申请人在每次事故发生后并已定损的情况下及时提供预付赔款服务，预付比例为60%。</w:t>
      </w:r>
    </w:p>
    <w:p w14:paraId="7ED0E96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3.保险事故发生时如有其他相同保障的保险存在，不论该保险赔偿与否，保险人仅承担差额责任。</w:t>
      </w:r>
    </w:p>
    <w:p w14:paraId="39D824EB">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4.申请人应保证被保险单位获得优先服务的权利，应根据被保险单位的通知，及时上门签订保险单。</w:t>
      </w:r>
    </w:p>
    <w:p w14:paraId="3BB03E05">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5.评选申请人应设有保险期×24小时报案咨询、服务电话，并派专人受理索赔接报案。</w:t>
      </w:r>
    </w:p>
    <w:p w14:paraId="083ED3B3">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6.中选人在接到被保险单位的出险报案后，提供科学、快捷的理赔服务，并派专人上门协助被投保单位全程办理相关的索赔手续。</w:t>
      </w:r>
    </w:p>
    <w:p w14:paraId="3CACABC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7.中选人</w:t>
      </w:r>
      <w:r>
        <w:rPr>
          <w:rFonts w:hint="eastAsia" w:ascii="仿宋" w:hAnsi="仿宋" w:eastAsia="仿宋" w:cs="仿宋"/>
          <w:b w:val="0"/>
          <w:bCs/>
          <w:color w:val="000000"/>
          <w:kern w:val="2"/>
          <w:sz w:val="24"/>
          <w:szCs w:val="24"/>
          <w:highlight w:val="none"/>
          <w:lang w:val="en-US"/>
        </w:rPr>
        <w:t>针对本项目提供的理赔方案</w:t>
      </w:r>
      <w:r>
        <w:rPr>
          <w:rFonts w:hint="eastAsia" w:ascii="仿宋" w:hAnsi="仿宋" w:eastAsia="仿宋" w:cs="仿宋"/>
          <w:b w:val="0"/>
          <w:bCs/>
          <w:color w:val="000000"/>
          <w:kern w:val="2"/>
          <w:sz w:val="24"/>
          <w:szCs w:val="24"/>
          <w:highlight w:val="none"/>
          <w:lang w:val="en-US" w:eastAsia="zh-CN"/>
        </w:rPr>
        <w:t>。（格式自拟）</w:t>
      </w:r>
    </w:p>
    <w:p w14:paraId="5FBCD89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8.中选人应定期为被保险单位免费举办关于出险索赔程序、保险知识等方面的知识讲座及其他活动。</w:t>
      </w:r>
    </w:p>
    <w:p w14:paraId="63BAD4E9">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三、</w:t>
      </w:r>
      <w:r>
        <w:rPr>
          <w:rFonts w:hint="eastAsia" w:ascii="仿宋" w:hAnsi="仿宋" w:eastAsia="仿宋" w:cs="仿宋"/>
          <w:b w:val="0"/>
          <w:bCs/>
          <w:color w:val="000000" w:themeColor="text1"/>
          <w:sz w:val="24"/>
          <w:szCs w:val="24"/>
          <w14:textFill>
            <w14:solidFill>
              <w14:schemeClr w14:val="tx1"/>
            </w14:solidFill>
          </w14:textFill>
        </w:rPr>
        <w:t>商务要求：</w:t>
      </w:r>
    </w:p>
    <w:p w14:paraId="3092631B">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仿宋" w:hAnsi="仿宋" w:cs="仿宋"/>
          <w:b w:val="0"/>
          <w:bCs/>
          <w:color w:val="000000"/>
          <w:kern w:val="44"/>
          <w:sz w:val="24"/>
          <w:szCs w:val="24"/>
        </w:rPr>
      </w:pPr>
      <w:r>
        <w:rPr>
          <w:rFonts w:hint="eastAsia" w:ascii="仿宋" w:hAnsi="仿宋" w:eastAsia="仿宋" w:cs="仿宋"/>
          <w:b w:val="0"/>
          <w:bCs/>
          <w:color w:val="000000"/>
          <w:kern w:val="44"/>
          <w:sz w:val="24"/>
          <w:szCs w:val="24"/>
          <w:lang w:eastAsia="zh-CN"/>
        </w:rPr>
        <w:t>1.</w:t>
      </w:r>
      <w:r>
        <w:rPr>
          <w:rFonts w:hint="eastAsia" w:ascii="仿宋" w:hAnsi="仿宋" w:eastAsia="仿宋" w:cs="仿宋"/>
          <w:b w:val="0"/>
          <w:bCs/>
          <w:color w:val="000000"/>
          <w:kern w:val="44"/>
          <w:sz w:val="24"/>
          <w:szCs w:val="24"/>
        </w:rPr>
        <w:t>服务时间：2026年</w:t>
      </w:r>
      <w:r>
        <w:rPr>
          <w:rFonts w:hint="eastAsia" w:ascii="仿宋" w:hAnsi="仿宋" w:eastAsia="仿宋" w:cs="仿宋"/>
          <w:b w:val="0"/>
          <w:bCs/>
          <w:color w:val="000000"/>
          <w:kern w:val="44"/>
          <w:sz w:val="24"/>
          <w:szCs w:val="24"/>
          <w:lang w:val="en-US" w:eastAsia="zh-CN"/>
        </w:rPr>
        <w:t>2</w:t>
      </w:r>
      <w:r>
        <w:rPr>
          <w:rFonts w:hint="eastAsia" w:ascii="仿宋" w:hAnsi="仿宋" w:eastAsia="仿宋" w:cs="仿宋"/>
          <w:b w:val="0"/>
          <w:bCs/>
          <w:color w:val="000000"/>
          <w:kern w:val="44"/>
          <w:sz w:val="24"/>
          <w:szCs w:val="24"/>
        </w:rPr>
        <w:t>月26日</w:t>
      </w:r>
      <w:r>
        <w:rPr>
          <w:rFonts w:hint="eastAsia" w:ascii="仿宋" w:hAnsi="仿宋" w:eastAsia="仿宋" w:cs="仿宋"/>
          <w:b w:val="0"/>
          <w:bCs/>
          <w:color w:val="000000"/>
          <w:kern w:val="44"/>
          <w:sz w:val="24"/>
          <w:szCs w:val="24"/>
          <w:lang w:val="en-US" w:eastAsia="zh-CN"/>
        </w:rPr>
        <w:t>00:00</w:t>
      </w:r>
      <w:r>
        <w:rPr>
          <w:rFonts w:hint="eastAsia" w:ascii="仿宋" w:hAnsi="仿宋" w:eastAsia="仿宋" w:cs="仿宋"/>
          <w:b w:val="0"/>
          <w:bCs/>
          <w:color w:val="000000"/>
          <w:kern w:val="44"/>
          <w:sz w:val="24"/>
          <w:szCs w:val="24"/>
        </w:rPr>
        <w:t>至2026年</w:t>
      </w:r>
      <w:r>
        <w:rPr>
          <w:rFonts w:hint="eastAsia" w:ascii="仿宋" w:hAnsi="仿宋" w:eastAsia="仿宋" w:cs="仿宋"/>
          <w:b w:val="0"/>
          <w:bCs/>
          <w:color w:val="000000"/>
          <w:kern w:val="44"/>
          <w:sz w:val="24"/>
          <w:szCs w:val="24"/>
          <w:lang w:val="en-US" w:eastAsia="zh-CN"/>
        </w:rPr>
        <w:t>8</w:t>
      </w:r>
      <w:r>
        <w:rPr>
          <w:rFonts w:hint="eastAsia" w:ascii="仿宋" w:hAnsi="仿宋" w:eastAsia="仿宋" w:cs="仿宋"/>
          <w:b w:val="0"/>
          <w:bCs/>
          <w:color w:val="000000"/>
          <w:kern w:val="44"/>
          <w:sz w:val="24"/>
          <w:szCs w:val="24"/>
        </w:rPr>
        <w:t>月2</w:t>
      </w:r>
      <w:r>
        <w:rPr>
          <w:rFonts w:hint="eastAsia" w:ascii="仿宋" w:hAnsi="仿宋" w:eastAsia="仿宋" w:cs="仿宋"/>
          <w:b w:val="0"/>
          <w:bCs/>
          <w:color w:val="000000"/>
          <w:kern w:val="44"/>
          <w:sz w:val="24"/>
          <w:szCs w:val="24"/>
          <w:lang w:val="en-US" w:eastAsia="zh-CN"/>
        </w:rPr>
        <w:t>5</w:t>
      </w:r>
      <w:r>
        <w:rPr>
          <w:rFonts w:hint="eastAsia" w:ascii="仿宋" w:hAnsi="仿宋" w:eastAsia="仿宋" w:cs="仿宋"/>
          <w:b w:val="0"/>
          <w:bCs/>
          <w:color w:val="000000"/>
          <w:kern w:val="44"/>
          <w:sz w:val="24"/>
          <w:szCs w:val="24"/>
        </w:rPr>
        <w:t>日</w:t>
      </w:r>
      <w:r>
        <w:rPr>
          <w:rFonts w:hint="eastAsia" w:ascii="仿宋" w:hAnsi="仿宋" w:eastAsia="仿宋" w:cs="仿宋"/>
          <w:b w:val="0"/>
          <w:bCs/>
          <w:color w:val="000000"/>
          <w:kern w:val="44"/>
          <w:sz w:val="24"/>
          <w:szCs w:val="24"/>
          <w:lang w:val="en-US" w:eastAsia="zh-CN"/>
        </w:rPr>
        <w:t>23:59:59</w:t>
      </w:r>
      <w:r>
        <w:rPr>
          <w:rFonts w:hint="eastAsia" w:ascii="仿宋" w:hAnsi="仿宋" w:eastAsia="仿宋" w:cs="仿宋"/>
          <w:b w:val="0"/>
          <w:bCs/>
          <w:color w:val="000000"/>
          <w:kern w:val="44"/>
          <w:sz w:val="24"/>
          <w:szCs w:val="24"/>
        </w:rPr>
        <w:t>。</w:t>
      </w:r>
    </w:p>
    <w:p w14:paraId="1D8492F8">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仿宋" w:hAnsi="仿宋" w:eastAsia="仿宋" w:cs="仿宋"/>
          <w:b w:val="0"/>
          <w:bCs/>
          <w:color w:val="000000"/>
          <w:kern w:val="44"/>
          <w:sz w:val="24"/>
          <w:szCs w:val="24"/>
        </w:rPr>
      </w:pPr>
      <w:r>
        <w:rPr>
          <w:rFonts w:hint="eastAsia" w:ascii="仿宋" w:hAnsi="仿宋" w:eastAsia="仿宋" w:cs="仿宋"/>
          <w:b w:val="0"/>
          <w:bCs/>
          <w:color w:val="000000"/>
          <w:kern w:val="44"/>
          <w:sz w:val="24"/>
          <w:szCs w:val="24"/>
          <w:lang w:eastAsia="zh-CN"/>
        </w:rPr>
        <w:t>2.</w:t>
      </w:r>
      <w:r>
        <w:rPr>
          <w:rFonts w:hint="eastAsia" w:ascii="仿宋" w:hAnsi="仿宋" w:eastAsia="仿宋" w:cs="仿宋"/>
          <w:b w:val="0"/>
          <w:bCs/>
          <w:color w:val="000000"/>
          <w:kern w:val="44"/>
          <w:sz w:val="24"/>
          <w:szCs w:val="24"/>
        </w:rPr>
        <w:t>服务地点：成都武侯祠大街231号附1号锦里文化旅游街区全域及附从环境。</w:t>
      </w:r>
    </w:p>
    <w:p w14:paraId="7009D515">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支付方式：（1）中选人与评选人签订合同后，5个工作日内办结相关投保手续且评选人在收到中选人出具正规合法且正式有效的等额增值税发票及相关凭证后，经评选人确认后5日内给予支付保险费的100%。（2）本项目款项涉及财政资金、自有资金审批下拨的，若因前述资金下达迟延，导致评选人付款迟延的，评选人的付款时间相应顺延并不视为违约。</w:t>
      </w:r>
    </w:p>
    <w:p w14:paraId="6F833A85">
      <w:pPr>
        <w:keepNext w:val="0"/>
        <w:keepLines w:val="0"/>
        <w:pageBreakBefore w:val="0"/>
        <w:kinsoku/>
        <w:wordWrap/>
        <w:overflowPunct/>
        <w:topLinePunct w:val="0"/>
        <w:autoSpaceDE/>
        <w:autoSpaceDN/>
        <w:bidi w:val="0"/>
        <w:adjustRightInd/>
        <w:spacing w:afterLines="0" w:line="360" w:lineRule="auto"/>
        <w:ind w:firstLine="480" w:firstLineChars="200"/>
        <w:jc w:val="left"/>
        <w:textAlignment w:val="auto"/>
        <w:rPr>
          <w:rFonts w:hint="eastAsia" w:ascii="Times New Roman" w:hAnsi="Times New Roman" w:eastAsia="方正仿宋_GBK" w:cs="Times New Roman"/>
          <w:b w:val="0"/>
          <w:bCs/>
          <w:sz w:val="24"/>
          <w:szCs w:val="24"/>
          <w:lang w:val="en-US" w:eastAsia="zh-CN"/>
        </w:rPr>
      </w:pPr>
      <w:r>
        <w:rPr>
          <w:rFonts w:hint="eastAsia" w:ascii="Times New Roman" w:hAnsi="Times New Roman" w:eastAsia="方正仿宋_GBK" w:cs="Times New Roman"/>
          <w:b w:val="0"/>
          <w:bCs/>
          <w:sz w:val="24"/>
          <w:szCs w:val="24"/>
          <w:lang w:val="en-US" w:eastAsia="zh-CN"/>
        </w:rPr>
        <w:t>四、供应商应符合参加本次询价活动应当具备的条件</w:t>
      </w:r>
    </w:p>
    <w:p w14:paraId="7AFF9D0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（一）</w:t>
      </w:r>
      <w:r>
        <w:rPr>
          <w:rFonts w:hint="eastAsia" w:ascii="仿宋" w:hAnsi="仿宋" w:eastAsia="仿宋" w:cs="仿宋"/>
          <w:b w:val="0"/>
          <w:bCs/>
          <w:sz w:val="24"/>
          <w:szCs w:val="24"/>
        </w:rPr>
        <w:t>具有独立承担</w:t>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"http://www.lawtime.cn/info/minfa/mszeren/" \t "_blank"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民事责任</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t>的能力；</w:t>
      </w:r>
    </w:p>
    <w:p w14:paraId="78203C8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（二）</w:t>
      </w:r>
      <w:r>
        <w:rPr>
          <w:rFonts w:hint="eastAsia" w:ascii="仿宋" w:hAnsi="仿宋" w:eastAsia="仿宋" w:cs="仿宋"/>
          <w:b w:val="0"/>
          <w:bCs/>
          <w:sz w:val="24"/>
          <w:szCs w:val="24"/>
        </w:rPr>
        <w:t>具有良好的商业信誉和健全的财务会计制度；</w:t>
      </w:r>
    </w:p>
    <w:p w14:paraId="6DCA207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（三）</w:t>
      </w:r>
      <w:r>
        <w:rPr>
          <w:rFonts w:hint="eastAsia" w:ascii="仿宋" w:hAnsi="仿宋" w:eastAsia="仿宋" w:cs="仿宋"/>
          <w:b w:val="0"/>
          <w:bCs/>
          <w:sz w:val="24"/>
          <w:szCs w:val="24"/>
        </w:rPr>
        <w:t>具有履行合同所必需的设备和专业技术能力；</w:t>
      </w:r>
    </w:p>
    <w:p w14:paraId="075C3AD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（四）</w:t>
      </w:r>
      <w:r>
        <w:rPr>
          <w:rFonts w:hint="eastAsia" w:ascii="仿宋" w:hAnsi="仿宋" w:eastAsia="仿宋" w:cs="仿宋"/>
          <w:b w:val="0"/>
          <w:bCs/>
          <w:sz w:val="24"/>
          <w:szCs w:val="24"/>
        </w:rPr>
        <w:t>有依法缴纳税收和</w:t>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"http://www.lawtime.cn/info/laodong/shehuibaozhang/" \t "_blank"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社会保障</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t>资金的良好记录；</w:t>
      </w:r>
    </w:p>
    <w:p w14:paraId="3A3F293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（五）</w:t>
      </w:r>
      <w:r>
        <w:rPr>
          <w:rFonts w:hint="eastAsia" w:ascii="仿宋" w:hAnsi="仿宋" w:eastAsia="仿宋" w:cs="仿宋"/>
          <w:b w:val="0"/>
          <w:bCs/>
          <w:sz w:val="24"/>
          <w:szCs w:val="24"/>
        </w:rPr>
        <w:t>参加采购活动前三年内，在经营活动中没有重大违法记录；</w:t>
      </w:r>
    </w:p>
    <w:p w14:paraId="3164798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（六）</w:t>
      </w:r>
      <w:r>
        <w:rPr>
          <w:rFonts w:hint="eastAsia" w:ascii="仿宋" w:hAnsi="仿宋" w:eastAsia="仿宋" w:cs="仿宋"/>
          <w:b w:val="0"/>
          <w:bCs/>
          <w:sz w:val="24"/>
          <w:szCs w:val="24"/>
        </w:rPr>
        <w:t>法律、</w:t>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"http://www.lawtime.cn/info/sifakaoshi/xingzhengfa/" \t "_blank"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行政法</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t>规规定的其他条件；</w:t>
      </w:r>
    </w:p>
    <w:p w14:paraId="3BEBD70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（七）</w:t>
      </w:r>
      <w:r>
        <w:rPr>
          <w:rFonts w:hint="eastAsia" w:ascii="仿宋" w:hAnsi="仿宋" w:eastAsia="仿宋" w:cs="仿宋"/>
          <w:b w:val="0"/>
          <w:bCs/>
          <w:sz w:val="24"/>
          <w:szCs w:val="24"/>
        </w:rPr>
        <w:t>供应商单位及其现任法定代表人/单位负责人、主要负责人不得具有行贿犯罪记录</w:t>
      </w:r>
    </w:p>
    <w:p w14:paraId="33F8EDC5">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八</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特定资格要求：</w:t>
      </w:r>
    </w:p>
    <w:p w14:paraId="426F5A7C">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1.具有行政主管部门颁发的有效的《经营保险业务许可证》或《保险许可证》；（描述：提供具有行政主管部门颁发的有效的《经营保险业务许可证》或《保险许可证》证书复印件并加盖供应商公章）</w:t>
      </w:r>
    </w:p>
    <w:p w14:paraId="038BE30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本项目允许总公司或其分公司或其分支机构参与本项目投标，但只能以一个供应商身份参与，若为分公司或分支机构参与投标应具有总公司出具的授权。（描述：本项目允许总公司或其分公司或其分支机构参与本项目投标，但只能以一个供应商身份参与，若为分公司或分支机构参与投标应具有总公司出具的授权。）</w:t>
      </w:r>
    </w:p>
    <w:p w14:paraId="2CD8AEF0">
      <w:pPr>
        <w:pStyle w:val="2"/>
        <w:keepNext w:val="0"/>
        <w:keepLines w:val="0"/>
        <w:pageBreakBefore w:val="0"/>
        <w:tabs>
          <w:tab w:val="left" w:pos="1500"/>
        </w:tabs>
        <w:kinsoku/>
        <w:wordWrap/>
        <w:overflowPunct/>
        <w:topLinePunct w:val="0"/>
        <w:autoSpaceDE/>
        <w:autoSpaceDN/>
        <w:bidi w:val="0"/>
        <w:adjustRightInd/>
        <w:spacing w:line="360" w:lineRule="auto"/>
        <w:ind w:firstLine="482" w:firstLineChars="200"/>
        <w:textAlignment w:val="auto"/>
        <w:outlineLvl w:val="1"/>
        <w:rPr>
          <w:rFonts w:hint="eastAsia" w:ascii="Times New Roman" w:hAnsi="Times New Roman" w:eastAsia="方正仿宋_GBK" w:cs="Times New Roman"/>
          <w:sz w:val="24"/>
          <w:szCs w:val="24"/>
          <w:lang w:val="en-US" w:eastAsia="zh-CN"/>
        </w:rPr>
      </w:pPr>
      <w:r>
        <w:rPr>
          <w:rFonts w:hint="eastAsia" w:ascii="仿宋" w:hAnsi="仿宋" w:eastAsia="仿宋" w:cs="仿宋"/>
          <w:sz w:val="24"/>
          <w:szCs w:val="24"/>
          <w:lang w:val="en-US" w:eastAsia="zh-CN"/>
        </w:rPr>
        <w:t>（九）本项目不允许联合体。</w:t>
      </w:r>
    </w:p>
    <w:p w14:paraId="01511EE0">
      <w:pPr>
        <w:spacing w:line="360" w:lineRule="auto"/>
        <w:ind w:firstLine="420" w:firstLineChars="200"/>
      </w:pPr>
    </w:p>
    <w:p w14:paraId="6EBB399D">
      <w:pPr>
        <w:numPr>
          <w:ilvl w:val="0"/>
          <w:numId w:val="0"/>
        </w:numPr>
        <w:wordWrap w:val="0"/>
        <w:jc w:val="both"/>
        <w:rPr>
          <w:rFonts w:hint="eastAsia" w:ascii="方正黑体_GBK" w:hAnsi="方正黑体_GBK" w:eastAsia="方正黑体_GBK" w:cs="方正黑体_GBK"/>
          <w:sz w:val="32"/>
          <w:szCs w:val="32"/>
          <w:lang w:val="en-US" w:eastAsia="zh-CN"/>
        </w:rPr>
      </w:pPr>
    </w:p>
    <w:p w14:paraId="22C2FA6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0D4E086">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3D01E985">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3621FE4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3ECE2DA5">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78CECE4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8A57869">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7C6CDFC1">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1D539B8">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18174C03">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4E47E553">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9E909E8">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772E5669">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8D308CB">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14:paraId="0FC8E418">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19D561E3">
      <w:pPr>
        <w:widowControl w:val="0"/>
        <w:numPr>
          <w:ilvl w:val="0"/>
          <w:numId w:val="0"/>
        </w:numPr>
        <w:wordWrap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36"/>
          <w:szCs w:val="36"/>
          <w:lang w:val="en-US" w:eastAsia="zh-CN"/>
        </w:rPr>
        <w:t>具有独立承担民事责任能力的证明材料复印件</w:t>
      </w:r>
    </w:p>
    <w:p w14:paraId="5D83E7E8">
      <w:pPr>
        <w:widowControl w:val="0"/>
        <w:numPr>
          <w:ilvl w:val="0"/>
          <w:numId w:val="0"/>
        </w:numPr>
        <w:wordWrap w:val="0"/>
        <w:jc w:val="center"/>
        <w:rPr>
          <w:rFonts w:hint="default" w:ascii="Times New Roman" w:hAnsi="Times New Roman" w:eastAsia="方正仿宋_GBK" w:cs="Times New Roman"/>
          <w:color w:val="auto"/>
          <w:sz w:val="32"/>
          <w:szCs w:val="32"/>
          <w:lang w:val="en-US" w:eastAsia="zh-CN"/>
        </w:rPr>
      </w:pPr>
    </w:p>
    <w:p w14:paraId="18EFD9A6">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1.企业法人：提供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统一社会信用代码营业执照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155E1A09">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（注：分公司参与项目的，需提供具有法人资格的总公司的有关文件或制度等能够证明总公司授权其独立开</w:t>
      </w:r>
      <w:r>
        <w:rPr>
          <w:rFonts w:hint="eastAsia" w:ascii="Times New Roman" w:hAnsi="Times New Roman" w:eastAsia="方正仿宋_GBK" w:cs="Times New Roman"/>
          <w:color w:val="auto"/>
          <w:sz w:val="32"/>
          <w:szCs w:val="32"/>
          <w:lang w:val="en-US" w:eastAsia="zh-CN"/>
        </w:rPr>
        <w:t>展业</w:t>
      </w:r>
      <w:r>
        <w:rPr>
          <w:rFonts w:hint="default" w:ascii="Times New Roman" w:hAnsi="Times New Roman" w:eastAsia="方正仿宋_GBK" w:cs="Times New Roman"/>
          <w:color w:val="auto"/>
          <w:sz w:val="32"/>
          <w:szCs w:val="32"/>
          <w:lang w:val="en-US" w:eastAsia="zh-CN"/>
        </w:rPr>
        <w:t>务的证明材料复印件。已由总公司授权的，总公司取得的相关资质证书对分公司有效，法律法规或者行业另有规定的除外。）</w:t>
      </w:r>
    </w:p>
    <w:p w14:paraId="5EBA1C76">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2.事业法人：提供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统一社会信用代码法人登记证书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4CB34C40">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2B6B52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DFA53AF">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7CCF933">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5D9DF89">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DDBC70E">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5DA0BF0F">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C1B5D0B">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138C8760">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D9B30F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8365A63">
      <w:pPr>
        <w:widowControl w:val="0"/>
        <w:numPr>
          <w:ilvl w:val="0"/>
          <w:numId w:val="0"/>
        </w:numPr>
        <w:wordWrap w:val="0"/>
        <w:jc w:val="both"/>
        <w:rPr>
          <w:rFonts w:hint="default" w:ascii="Times New Roman" w:hAnsi="Times New Roman" w:eastAsia="方正仿宋_GBK" w:cs="Times New Roman"/>
          <w:b/>
          <w:bCs/>
          <w:sz w:val="32"/>
          <w:szCs w:val="32"/>
        </w:rPr>
      </w:pPr>
    </w:p>
    <w:p w14:paraId="02EE36B2">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14:paraId="5AD47B44">
      <w:pPr>
        <w:widowControl w:val="0"/>
        <w:numPr>
          <w:ilvl w:val="0"/>
          <w:numId w:val="0"/>
        </w:numPr>
        <w:wordWrap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报价文件格式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90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2F991CF">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报价项目名称</w:t>
            </w:r>
          </w:p>
        </w:tc>
        <w:tc>
          <w:tcPr>
            <w:tcW w:w="2841" w:type="dxa"/>
          </w:tcPr>
          <w:p w14:paraId="4893F190">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报价项目金额</w:t>
            </w:r>
          </w:p>
        </w:tc>
        <w:tc>
          <w:tcPr>
            <w:tcW w:w="2841" w:type="dxa"/>
          </w:tcPr>
          <w:p w14:paraId="1DA061DA">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备注</w:t>
            </w:r>
          </w:p>
        </w:tc>
      </w:tr>
      <w:tr w14:paraId="2A3F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003762">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r>
              <w:rPr>
                <w:rFonts w:hint="eastAsia" w:ascii="仿宋" w:hAnsi="仿宋" w:eastAsia="仿宋" w:cs="仿宋"/>
                <w:sz w:val="28"/>
                <w:szCs w:val="28"/>
                <w:lang w:val="en-US" w:eastAsia="zh-CN"/>
              </w:rPr>
              <w:t>公众责任险</w:t>
            </w:r>
            <w:r>
              <w:rPr>
                <w:rFonts w:hint="eastAsia" w:ascii="方正仿宋_GBK" w:hAnsi="方正仿宋_GBK" w:eastAsia="方正仿宋_GBK" w:cs="方正仿宋_GBK"/>
                <w:color w:val="auto"/>
                <w:sz w:val="32"/>
                <w:szCs w:val="32"/>
                <w:vertAlign w:val="baseline"/>
                <w:lang w:val="en-US" w:eastAsia="zh-CN"/>
              </w:rPr>
              <w:t>（元）：</w:t>
            </w:r>
          </w:p>
        </w:tc>
        <w:tc>
          <w:tcPr>
            <w:tcW w:w="2841" w:type="dxa"/>
          </w:tcPr>
          <w:p w14:paraId="0DABA1AA">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c>
          <w:tcPr>
            <w:tcW w:w="2841" w:type="dxa"/>
          </w:tcPr>
          <w:p w14:paraId="7612479D">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r>
      <w:tr w14:paraId="5CF8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D63787">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r>
              <w:rPr>
                <w:rFonts w:hint="eastAsia" w:ascii="仿宋" w:hAnsi="仿宋" w:eastAsia="仿宋" w:cs="仿宋"/>
                <w:sz w:val="28"/>
                <w:szCs w:val="28"/>
                <w:lang w:val="en-US" w:eastAsia="zh-CN"/>
              </w:rPr>
              <w:t>财产保险</w:t>
            </w:r>
            <w:r>
              <w:rPr>
                <w:rFonts w:hint="eastAsia" w:ascii="方正仿宋_GBK" w:hAnsi="方正仿宋_GBK" w:eastAsia="方正仿宋_GBK" w:cs="方正仿宋_GBK"/>
                <w:color w:val="auto"/>
                <w:sz w:val="32"/>
                <w:szCs w:val="32"/>
                <w:vertAlign w:val="baseline"/>
                <w:lang w:val="en-US" w:eastAsia="zh-CN"/>
              </w:rPr>
              <w:t>（元）：</w:t>
            </w:r>
          </w:p>
        </w:tc>
        <w:tc>
          <w:tcPr>
            <w:tcW w:w="2841" w:type="dxa"/>
          </w:tcPr>
          <w:p w14:paraId="1AC8EF36">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c>
          <w:tcPr>
            <w:tcW w:w="2841" w:type="dxa"/>
          </w:tcPr>
          <w:p w14:paraId="609D5990">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r>
      <w:tr w14:paraId="1C9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5D04E7E">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项目总价：                 （元），大写</w:t>
            </w:r>
          </w:p>
        </w:tc>
      </w:tr>
    </w:tbl>
    <w:p w14:paraId="3AC69E40">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p w14:paraId="65743267">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p>
    <w:p w14:paraId="189EB10B">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注：</w:t>
      </w:r>
    </w:p>
    <w:p w14:paraId="297F35B7">
      <w:pPr>
        <w:widowControl w:val="0"/>
        <w:numPr>
          <w:ilvl w:val="0"/>
          <w:numId w:val="1"/>
        </w:numPr>
        <w:tabs>
          <w:tab w:val="clear" w:pos="312"/>
        </w:tabs>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供应商的报价应为项目所需的全部价格（包括货物、人工费、运输、安装、售后、国内税费及其他相关费用等），若漏报则视为已包含在项目总价中，采购人不再单独另行结算。</w:t>
      </w:r>
    </w:p>
    <w:p w14:paraId="5B62609C">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p>
    <w:p w14:paraId="4F41CEF5">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供应商联系人及电话：</w:t>
      </w:r>
      <w:r>
        <w:rPr>
          <w:rFonts w:hint="eastAsia" w:ascii="方正仿宋_GBK" w:hAnsi="方正仿宋_GBK" w:eastAsia="方正仿宋_GBK" w:cs="方正仿宋_GBK"/>
          <w:color w:val="auto"/>
          <w:sz w:val="32"/>
          <w:szCs w:val="32"/>
          <w:u w:val="single"/>
          <w:vertAlign w:val="baseline"/>
          <w:lang w:val="en-US" w:eastAsia="zh-CN"/>
        </w:rPr>
        <w:t xml:space="preserve">                   </w:t>
      </w:r>
    </w:p>
    <w:p w14:paraId="13DDE4D3">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供应商全称（公章）：</w:t>
      </w:r>
    </w:p>
    <w:p w14:paraId="7DE0791A">
      <w:pPr>
        <w:widowControl w:val="0"/>
        <w:numPr>
          <w:ilvl w:val="0"/>
          <w:numId w:val="0"/>
        </w:numPr>
        <w:wordWrap w:val="0"/>
        <w:jc w:val="both"/>
        <w:rPr>
          <w:rFonts w:hint="eastAsia" w:ascii="方正仿宋_GBK" w:hAnsi="方正仿宋_GBK" w:eastAsia="方正仿宋_GBK" w:cs="方正仿宋_GBK"/>
          <w:color w:val="auto"/>
          <w:sz w:val="32"/>
          <w:szCs w:val="32"/>
          <w:u w:val="single"/>
          <w:vertAlign w:val="baseline"/>
          <w:lang w:val="en-US" w:eastAsia="zh-CN"/>
        </w:rPr>
      </w:pPr>
      <w:r>
        <w:rPr>
          <w:rFonts w:hint="eastAsia" w:ascii="方正仿宋_GBK" w:hAnsi="方正仿宋_GBK" w:eastAsia="方正仿宋_GBK" w:cs="方正仿宋_GBK"/>
          <w:color w:val="auto"/>
          <w:sz w:val="28"/>
          <w:szCs w:val="28"/>
          <w:lang w:val="en-US" w:eastAsia="zh-CN"/>
        </w:rPr>
        <w:t>法定代表人/单位负责人或授权代表（签字或加盖印章）：</w:t>
      </w:r>
      <w:r>
        <w:rPr>
          <w:rFonts w:hint="eastAsia" w:ascii="方正仿宋_GBK" w:hAnsi="方正仿宋_GBK" w:eastAsia="方正仿宋_GBK" w:cs="方正仿宋_GBK"/>
          <w:color w:val="auto"/>
          <w:sz w:val="32"/>
          <w:szCs w:val="32"/>
          <w:u w:val="single"/>
          <w:vertAlign w:val="baseline"/>
          <w:lang w:val="en-US" w:eastAsia="zh-CN"/>
        </w:rPr>
        <w:t xml:space="preserve">         </w:t>
      </w:r>
    </w:p>
    <w:p w14:paraId="0AD621F2">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日期：</w:t>
      </w:r>
      <w:r>
        <w:rPr>
          <w:rFonts w:hint="eastAsia" w:ascii="方正仿宋_GBK" w:hAnsi="方正仿宋_GBK" w:eastAsia="方正仿宋_GBK" w:cs="方正仿宋_GBK"/>
          <w:color w:val="auto"/>
          <w:sz w:val="32"/>
          <w:szCs w:val="32"/>
          <w:u w:val="single"/>
          <w:vertAlign w:val="baseline"/>
          <w:lang w:val="en-US" w:eastAsia="zh-CN"/>
        </w:rPr>
        <w:t xml:space="preserve">          </w:t>
      </w:r>
    </w:p>
    <w:p w14:paraId="3972112F">
      <w:pPr>
        <w:pStyle w:val="2"/>
        <w:rPr>
          <w:rFonts w:hint="eastAsia" w:ascii="方正仿宋_GBK" w:hAnsi="方正仿宋_GBK" w:eastAsia="方正仿宋_GBK" w:cs="方正仿宋_GBK"/>
          <w:color w:val="auto"/>
          <w:sz w:val="28"/>
          <w:szCs w:val="28"/>
          <w:lang w:val="en-US" w:eastAsia="zh-CN"/>
        </w:rPr>
      </w:pPr>
    </w:p>
    <w:p w14:paraId="107B5F99">
      <w:pPr>
        <w:rPr>
          <w:rFonts w:hint="eastAsia" w:ascii="方正仿宋_GBK" w:hAnsi="方正仿宋_GBK" w:eastAsia="方正仿宋_GBK" w:cs="方正仿宋_GBK"/>
          <w:color w:val="auto"/>
          <w:sz w:val="28"/>
          <w:szCs w:val="28"/>
          <w:lang w:val="en-US" w:eastAsia="zh-CN"/>
        </w:rPr>
      </w:pPr>
    </w:p>
    <w:p w14:paraId="1F9261AE">
      <w:pPr>
        <w:pStyle w:val="2"/>
        <w:rPr>
          <w:rFonts w:hint="eastAsia" w:ascii="方正仿宋_GBK" w:hAnsi="方正仿宋_GBK" w:eastAsia="方正仿宋_GBK" w:cs="方正仿宋_GBK"/>
          <w:color w:val="auto"/>
          <w:sz w:val="28"/>
          <w:szCs w:val="28"/>
          <w:lang w:val="en-US" w:eastAsia="zh-CN"/>
        </w:rPr>
      </w:pPr>
    </w:p>
    <w:p w14:paraId="1DD5497D">
      <w:pPr>
        <w:rPr>
          <w:rFonts w:hint="eastAsia" w:ascii="方正仿宋_GBK" w:hAnsi="方正仿宋_GBK" w:eastAsia="方正仿宋_GBK" w:cs="方正仿宋_GBK"/>
          <w:color w:val="auto"/>
          <w:sz w:val="28"/>
          <w:szCs w:val="28"/>
          <w:lang w:val="en-US" w:eastAsia="zh-CN"/>
        </w:rPr>
      </w:pPr>
    </w:p>
    <w:p w14:paraId="7913B8B7">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附件4</w:t>
      </w:r>
    </w:p>
    <w:p w14:paraId="311774EC">
      <w:pPr>
        <w:jc w:val="center"/>
        <w:rPr>
          <w:rFonts w:hint="default"/>
        </w:rPr>
      </w:pPr>
      <w:r>
        <w:rPr>
          <w:rFonts w:hint="eastAsia" w:ascii="宋体" w:hAnsi="宋体" w:cs="宋体"/>
          <w:b/>
          <w:bCs/>
          <w:color w:val="auto"/>
          <w:sz w:val="36"/>
          <w:szCs w:val="36"/>
          <w:lang w:val="en-US" w:eastAsia="zh-CN"/>
        </w:rPr>
        <w:t>公众责任险方案</w:t>
      </w:r>
    </w:p>
    <w:p w14:paraId="0E055E16">
      <w:pPr>
        <w:pStyle w:val="2"/>
        <w:rPr>
          <w:rFonts w:hint="default"/>
        </w:rPr>
      </w:pPr>
    </w:p>
    <w:p w14:paraId="7483E750">
      <w:pPr>
        <w:jc w:val="center"/>
        <w:rPr>
          <w:rFonts w:hint="eastAsia"/>
          <w:lang w:val="en-US" w:eastAsia="zh-CN"/>
        </w:rPr>
      </w:pPr>
      <w:r>
        <w:rPr>
          <w:rFonts w:hint="eastAsia"/>
          <w:lang w:val="en-US" w:eastAsia="zh-CN"/>
        </w:rPr>
        <w:t>格式自拟。</w:t>
      </w:r>
    </w:p>
    <w:p w14:paraId="25AE428E">
      <w:pPr>
        <w:jc w:val="center"/>
        <w:rPr>
          <w:rFonts w:hint="eastAsia"/>
          <w:lang w:val="en-US" w:eastAsia="zh-CN"/>
        </w:rPr>
      </w:pPr>
    </w:p>
    <w:p w14:paraId="787E242B">
      <w:pPr>
        <w:jc w:val="center"/>
        <w:rPr>
          <w:rFonts w:hint="eastAsia"/>
          <w:lang w:val="en-US" w:eastAsia="zh-CN"/>
        </w:rPr>
      </w:pPr>
    </w:p>
    <w:p w14:paraId="600971D6">
      <w:pPr>
        <w:jc w:val="center"/>
        <w:rPr>
          <w:rFonts w:hint="eastAsia"/>
          <w:lang w:val="en-US" w:eastAsia="zh-CN"/>
        </w:rPr>
      </w:pPr>
    </w:p>
    <w:p w14:paraId="687C1B85">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4644415F">
      <w:pPr>
        <w:widowControl w:val="0"/>
        <w:numPr>
          <w:ilvl w:val="0"/>
          <w:numId w:val="0"/>
        </w:numPr>
        <w:wordWrap w:val="0"/>
        <w:jc w:val="both"/>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附件5</w:t>
      </w:r>
    </w:p>
    <w:p w14:paraId="2AA16B8D">
      <w:pPr>
        <w:jc w:val="center"/>
        <w:rPr>
          <w:rFonts w:hint="default"/>
        </w:rPr>
      </w:pPr>
      <w:r>
        <w:rPr>
          <w:rFonts w:hint="eastAsia" w:ascii="宋体" w:hAnsi="宋体" w:cs="宋体"/>
          <w:b/>
          <w:bCs/>
          <w:color w:val="auto"/>
          <w:sz w:val="36"/>
          <w:szCs w:val="36"/>
          <w:lang w:val="en-US" w:eastAsia="zh-CN"/>
        </w:rPr>
        <w:t>财产保险方案</w:t>
      </w:r>
    </w:p>
    <w:p w14:paraId="380FE8FE">
      <w:pPr>
        <w:pStyle w:val="2"/>
        <w:rPr>
          <w:rFonts w:hint="default"/>
        </w:rPr>
      </w:pPr>
    </w:p>
    <w:p w14:paraId="27869A94">
      <w:pPr>
        <w:ind w:firstLine="3570" w:firstLineChars="1700"/>
        <w:jc w:val="both"/>
        <w:rPr>
          <w:rFonts w:hint="eastAsia" w:eastAsia="宋体"/>
          <w:lang w:val="en-US" w:eastAsia="zh-CN"/>
        </w:rPr>
      </w:pPr>
      <w:r>
        <w:rPr>
          <w:rFonts w:hint="eastAsia"/>
          <w:lang w:val="en-US" w:eastAsia="zh-CN"/>
        </w:rPr>
        <w:t>格式自拟。</w:t>
      </w:r>
    </w:p>
    <w:p w14:paraId="3B47FF45">
      <w:pPr>
        <w:jc w:val="both"/>
        <w:rPr>
          <w:rFonts w:hint="eastAsia"/>
          <w:lang w:val="en-US" w:eastAsia="zh-CN"/>
        </w:rPr>
      </w:pPr>
    </w:p>
    <w:p w14:paraId="71ACA6AF">
      <w:pPr>
        <w:jc w:val="both"/>
        <w:rPr>
          <w:rFonts w:hint="eastAsia"/>
          <w:lang w:val="en-US" w:eastAsia="zh-CN"/>
        </w:rPr>
      </w:pPr>
    </w:p>
    <w:p w14:paraId="07F22FC4">
      <w:pPr>
        <w:jc w:val="both"/>
        <w:rPr>
          <w:rFonts w:hint="eastAsia"/>
          <w:lang w:val="en-US" w:eastAsia="zh-CN"/>
        </w:rPr>
      </w:pPr>
    </w:p>
    <w:p w14:paraId="2DC0D17E">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4B63DF36">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 6</w:t>
      </w:r>
    </w:p>
    <w:p w14:paraId="6195E128">
      <w:pPr>
        <w:ind w:firstLine="3253" w:firstLineChars="900"/>
        <w:jc w:val="both"/>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服务方案</w:t>
      </w:r>
    </w:p>
    <w:p w14:paraId="47FEAF95">
      <w:pPr>
        <w:ind w:firstLine="3570" w:firstLineChars="1700"/>
        <w:jc w:val="both"/>
        <w:rPr>
          <w:rFonts w:hint="eastAsia"/>
          <w:lang w:val="en-US" w:eastAsia="zh-CN"/>
        </w:rPr>
      </w:pPr>
    </w:p>
    <w:p w14:paraId="19EE5C1D">
      <w:pPr>
        <w:ind w:firstLine="3570" w:firstLineChars="1700"/>
        <w:jc w:val="both"/>
        <w:rPr>
          <w:rFonts w:hint="default" w:ascii="宋体" w:hAnsi="宋体" w:cs="宋体"/>
          <w:b/>
          <w:bCs/>
          <w:color w:val="auto"/>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格式自拟。</w:t>
      </w:r>
    </w:p>
    <w:p w14:paraId="2CFCA07C">
      <w:pPr>
        <w:jc w:val="both"/>
        <w:rPr>
          <w:rFonts w:hint="eastAsia"/>
          <w:lang w:val="en-US" w:eastAsia="zh-CN"/>
        </w:rPr>
      </w:pPr>
    </w:p>
    <w:p w14:paraId="7775156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33BC1"/>
    <w:multiLevelType w:val="singleLevel"/>
    <w:tmpl w:val="75733BC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97891"/>
    <w:rsid w:val="4179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b/>
      <w:sz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GW-正文"/>
    <w:basedOn w:val="1"/>
    <w:qFormat/>
    <w:uiPriority w:val="0"/>
    <w:pPr>
      <w:spacing w:line="360" w:lineRule="auto"/>
      <w:ind w:firstLine="200" w:firstLineChars="200"/>
    </w:pPr>
    <w:rPr>
      <w:rFonts w:eastAsia="仿宋_GB2312"/>
      <w:sz w:val="24"/>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2026-02-12T11:52:00Z</dcterms:created>
  <dc:creator>suogelaqi</dc:creator>
  <cp:lastModifiedBy>suogelaqi</cp:lastModifiedBy>
  <dcterms:modified xsi:type="dcterms:W3CDTF">2026-02-12T11:54:11Z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BF2FB4E471C540E69FE942DFEA702D0E_11</vt:lpwstr>
  </property>
  <property fmtid="{D5CDD505-2E9C-101B-9397-08002B2CF9AE}" pid="4" name="KSOTemplateDocerSaveRecord">
    <vt:lpwstr>eyJoZGlkIjoiN2RhYzM1OTJjN2MwM2U2NjMwZDY5MjZiNWNiM2NhNWEiLCJ1c2VySWQiOiIyMTIyMDMzNzIifQ==</vt:lpwstr>
  </property>
</Properties>
</file>